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CF6EB8" w:rsidRDefault="008F0322" w:rsidP="009D730E">
      <w:pPr>
        <w:spacing w:after="0" w:line="240" w:lineRule="auto"/>
        <w:rPr>
          <w:b/>
          <w:color w:val="317A8B"/>
          <w:sz w:val="32"/>
          <w:szCs w:val="32"/>
        </w:rPr>
      </w:pPr>
      <w:r w:rsidRPr="00CF6EB8">
        <w:rPr>
          <w:b/>
          <w:color w:val="317A8B"/>
          <w:sz w:val="32"/>
          <w:szCs w:val="32"/>
        </w:rPr>
        <w:t>African Heritage Alliance (‘AHA’)</w:t>
      </w:r>
    </w:p>
    <w:p w14:paraId="50AD3966" w14:textId="196AA76E" w:rsidR="000F30AB" w:rsidRPr="000F30AB" w:rsidRDefault="000F30AB" w:rsidP="000F30AB">
      <w:pPr>
        <w:rPr>
          <w:b/>
          <w:color w:val="317A8B"/>
          <w:sz w:val="32"/>
          <w:szCs w:val="32"/>
        </w:rPr>
      </w:pPr>
      <w:r w:rsidRPr="000F30AB">
        <w:rPr>
          <w:b/>
          <w:color w:val="317A8B"/>
          <w:sz w:val="32"/>
          <w:szCs w:val="32"/>
        </w:rPr>
        <w:t>Whistleblowing Policy</w:t>
      </w:r>
    </w:p>
    <w:p w14:paraId="66953AD0" w14:textId="75980380" w:rsidR="000F30AB" w:rsidRPr="000F30AB" w:rsidRDefault="000F30AB" w:rsidP="000F30AB">
      <w:pPr>
        <w:rPr>
          <w:rFonts w:ascii="Arial" w:hAnsi="Arial" w:cs="Arial"/>
          <w:sz w:val="24"/>
          <w:szCs w:val="24"/>
        </w:rPr>
      </w:pPr>
      <w:r w:rsidRPr="000F30AB">
        <w:rPr>
          <w:rFonts w:ascii="Arial" w:hAnsi="Arial" w:cs="Arial"/>
          <w:b/>
          <w:bCs/>
          <w:sz w:val="24"/>
          <w:szCs w:val="24"/>
        </w:rPr>
        <w:t>Purpose</w:t>
      </w:r>
      <w:r w:rsidRPr="000F30AB">
        <w:rPr>
          <w:rFonts w:ascii="Arial" w:hAnsi="Arial" w:cs="Arial"/>
          <w:b/>
          <w:bCs/>
          <w:sz w:val="24"/>
          <w:szCs w:val="24"/>
        </w:rPr>
        <w:br/>
      </w:r>
      <w:r w:rsidRPr="000F30AB">
        <w:rPr>
          <w:rFonts w:ascii="Arial" w:hAnsi="Arial" w:cs="Arial"/>
          <w:sz w:val="24"/>
          <w:szCs w:val="24"/>
        </w:rPr>
        <w:t>The African Heritage Alliance is committed to fostering a culture of openness, accountability, and integrity. This Whistleblowing Policy provides guidance to staff, volunteers, and Centre users who wish to raise concerns about potential wrongdoing or malpractice within the African Caribbean Centre, particularly in relation to supervised contact visits and general operations.</w:t>
      </w:r>
    </w:p>
    <w:p w14:paraId="05FE390C"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Policy Statement</w:t>
      </w:r>
    </w:p>
    <w:p w14:paraId="03F4B0A8" w14:textId="2F4AA6D6" w:rsidR="000F30AB" w:rsidRPr="000F30AB" w:rsidRDefault="000F30AB" w:rsidP="000F30AB">
      <w:pPr>
        <w:rPr>
          <w:rFonts w:ascii="Arial" w:hAnsi="Arial" w:cs="Arial"/>
          <w:sz w:val="24"/>
          <w:szCs w:val="24"/>
        </w:rPr>
      </w:pPr>
      <w:r w:rsidRPr="000F30AB">
        <w:rPr>
          <w:rFonts w:ascii="Arial" w:hAnsi="Arial" w:cs="Arial"/>
          <w:sz w:val="24"/>
          <w:szCs w:val="24"/>
        </w:rPr>
        <w:t>We believe it is essential to encourage individuals to report concerns about unethical, illegal, or unsafe practices without fear of reprisal. This policy ensures such concerns are handled appropriately, confidentially, and in accordance with UK law.</w:t>
      </w:r>
    </w:p>
    <w:p w14:paraId="5D29D3A7"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Scope</w:t>
      </w:r>
    </w:p>
    <w:p w14:paraId="28A99778" w14:textId="77777777" w:rsidR="000F30AB" w:rsidRPr="000F30AB" w:rsidRDefault="000F30AB" w:rsidP="000F30AB">
      <w:pPr>
        <w:rPr>
          <w:rFonts w:ascii="Arial" w:hAnsi="Arial" w:cs="Arial"/>
          <w:sz w:val="24"/>
          <w:szCs w:val="24"/>
        </w:rPr>
      </w:pPr>
      <w:r w:rsidRPr="000F30AB">
        <w:rPr>
          <w:rFonts w:ascii="Arial" w:hAnsi="Arial" w:cs="Arial"/>
          <w:sz w:val="24"/>
          <w:szCs w:val="24"/>
        </w:rPr>
        <w:t>This policy applies to:</w:t>
      </w:r>
    </w:p>
    <w:p w14:paraId="0D249C5B" w14:textId="77777777" w:rsidR="000F30AB" w:rsidRPr="000F30AB" w:rsidRDefault="000F30AB" w:rsidP="000F30AB">
      <w:pPr>
        <w:numPr>
          <w:ilvl w:val="0"/>
          <w:numId w:val="25"/>
        </w:numPr>
        <w:rPr>
          <w:rFonts w:ascii="Arial" w:hAnsi="Arial" w:cs="Arial"/>
          <w:sz w:val="24"/>
          <w:szCs w:val="24"/>
        </w:rPr>
      </w:pPr>
      <w:r w:rsidRPr="000F30AB">
        <w:rPr>
          <w:rFonts w:ascii="Arial" w:hAnsi="Arial" w:cs="Arial"/>
          <w:sz w:val="24"/>
          <w:szCs w:val="24"/>
        </w:rPr>
        <w:t>Staff and volunteers engaged in supervised contact visits.</w:t>
      </w:r>
    </w:p>
    <w:p w14:paraId="508F06A8" w14:textId="77777777" w:rsidR="000F30AB" w:rsidRPr="000F30AB" w:rsidRDefault="000F30AB" w:rsidP="000F30AB">
      <w:pPr>
        <w:numPr>
          <w:ilvl w:val="0"/>
          <w:numId w:val="25"/>
        </w:numPr>
        <w:rPr>
          <w:rFonts w:ascii="Arial" w:hAnsi="Arial" w:cs="Arial"/>
          <w:sz w:val="24"/>
          <w:szCs w:val="24"/>
        </w:rPr>
      </w:pPr>
      <w:r w:rsidRPr="000F30AB">
        <w:rPr>
          <w:rFonts w:ascii="Arial" w:hAnsi="Arial" w:cs="Arial"/>
          <w:sz w:val="24"/>
          <w:szCs w:val="24"/>
        </w:rPr>
        <w:t>General Centre users and visitors.</w:t>
      </w:r>
    </w:p>
    <w:p w14:paraId="6D546F6D" w14:textId="5C61A083" w:rsidR="000F30AB" w:rsidRPr="000F30AB" w:rsidRDefault="000F30AB" w:rsidP="000F30AB">
      <w:pPr>
        <w:numPr>
          <w:ilvl w:val="0"/>
          <w:numId w:val="25"/>
        </w:numPr>
        <w:rPr>
          <w:rFonts w:ascii="Arial" w:hAnsi="Arial" w:cs="Arial"/>
          <w:sz w:val="24"/>
          <w:szCs w:val="24"/>
        </w:rPr>
      </w:pPr>
      <w:r w:rsidRPr="000F30AB">
        <w:rPr>
          <w:rFonts w:ascii="Arial" w:hAnsi="Arial" w:cs="Arial"/>
          <w:sz w:val="24"/>
          <w:szCs w:val="24"/>
        </w:rPr>
        <w:t>Contractors and third parties working with or at the Centre.</w:t>
      </w:r>
    </w:p>
    <w:p w14:paraId="5B438B6D"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What is Whistleblowing?</w:t>
      </w:r>
    </w:p>
    <w:p w14:paraId="4948C4EA" w14:textId="77777777" w:rsidR="000F30AB" w:rsidRPr="000F30AB" w:rsidRDefault="000F30AB" w:rsidP="000F30AB">
      <w:pPr>
        <w:rPr>
          <w:rFonts w:ascii="Arial" w:hAnsi="Arial" w:cs="Arial"/>
          <w:sz w:val="24"/>
          <w:szCs w:val="24"/>
        </w:rPr>
      </w:pPr>
      <w:r w:rsidRPr="000F30AB">
        <w:rPr>
          <w:rFonts w:ascii="Arial" w:hAnsi="Arial" w:cs="Arial"/>
          <w:sz w:val="24"/>
          <w:szCs w:val="24"/>
        </w:rPr>
        <w:t>Whistleblowing refers to the reporting of suspected wrongdoing or dangers in connection with the activities of the Centre. Examples include, but are not limited to:</w:t>
      </w:r>
    </w:p>
    <w:p w14:paraId="07B72991" w14:textId="77777777"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Safeguarding concerns, particularly risks to children or vulnerable adults.</w:t>
      </w:r>
    </w:p>
    <w:p w14:paraId="18C24A03" w14:textId="77777777"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Unlawful or criminal activity.</w:t>
      </w:r>
    </w:p>
    <w:p w14:paraId="709E209D" w14:textId="77777777"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Breaches of legal or regulatory obligations.</w:t>
      </w:r>
    </w:p>
    <w:p w14:paraId="7D562AD5" w14:textId="77777777"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Financial malpractice, fraud, or corruption.</w:t>
      </w:r>
    </w:p>
    <w:p w14:paraId="6DB61AB2" w14:textId="77777777"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Health and safety risks, including unsafe practices or conditions.</w:t>
      </w:r>
    </w:p>
    <w:p w14:paraId="5762FB5C" w14:textId="482E9E04" w:rsidR="000F30AB" w:rsidRPr="000F30AB" w:rsidRDefault="000F30AB" w:rsidP="000F30AB">
      <w:pPr>
        <w:numPr>
          <w:ilvl w:val="0"/>
          <w:numId w:val="26"/>
        </w:numPr>
        <w:rPr>
          <w:rFonts w:ascii="Arial" w:hAnsi="Arial" w:cs="Arial"/>
          <w:sz w:val="24"/>
          <w:szCs w:val="24"/>
        </w:rPr>
      </w:pPr>
      <w:r w:rsidRPr="000F30AB">
        <w:rPr>
          <w:rFonts w:ascii="Arial" w:hAnsi="Arial" w:cs="Arial"/>
          <w:sz w:val="24"/>
          <w:szCs w:val="24"/>
        </w:rPr>
        <w:t>Actions that compromise the neutrality or integrity of supervised contact visits.</w:t>
      </w:r>
    </w:p>
    <w:p w14:paraId="0B51DE41"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How to Raise a Concern</w:t>
      </w:r>
    </w:p>
    <w:p w14:paraId="5EC81151" w14:textId="77777777" w:rsidR="000F30AB" w:rsidRPr="000F30AB" w:rsidRDefault="000F30AB" w:rsidP="000F30AB">
      <w:pPr>
        <w:rPr>
          <w:rFonts w:ascii="Arial" w:hAnsi="Arial" w:cs="Arial"/>
          <w:sz w:val="24"/>
          <w:szCs w:val="24"/>
        </w:rPr>
      </w:pPr>
      <w:r w:rsidRPr="000F30AB">
        <w:rPr>
          <w:rFonts w:ascii="Arial" w:hAnsi="Arial" w:cs="Arial"/>
          <w:sz w:val="24"/>
          <w:szCs w:val="24"/>
        </w:rPr>
        <w:t>1. Internal Reporting</w:t>
      </w:r>
    </w:p>
    <w:p w14:paraId="3C4D48FC" w14:textId="77777777" w:rsidR="000F30AB" w:rsidRPr="000F30AB" w:rsidRDefault="000F30AB" w:rsidP="000F30AB">
      <w:pPr>
        <w:numPr>
          <w:ilvl w:val="0"/>
          <w:numId w:val="27"/>
        </w:numPr>
        <w:rPr>
          <w:rFonts w:ascii="Arial" w:hAnsi="Arial" w:cs="Arial"/>
          <w:sz w:val="24"/>
          <w:szCs w:val="24"/>
        </w:rPr>
      </w:pPr>
      <w:r w:rsidRPr="000F30AB">
        <w:rPr>
          <w:rFonts w:ascii="Arial" w:hAnsi="Arial" w:cs="Arial"/>
          <w:sz w:val="24"/>
          <w:szCs w:val="24"/>
        </w:rPr>
        <w:t>Concerns should be raised with the Centre Co-ordinator in the first instance.</w:t>
      </w:r>
    </w:p>
    <w:p w14:paraId="7BF5CF59" w14:textId="77777777" w:rsidR="000F30AB" w:rsidRPr="000F30AB" w:rsidRDefault="000F30AB" w:rsidP="000F30AB">
      <w:pPr>
        <w:numPr>
          <w:ilvl w:val="0"/>
          <w:numId w:val="27"/>
        </w:numPr>
        <w:rPr>
          <w:rFonts w:ascii="Arial" w:hAnsi="Arial" w:cs="Arial"/>
          <w:sz w:val="24"/>
          <w:szCs w:val="24"/>
        </w:rPr>
      </w:pPr>
      <w:r w:rsidRPr="000F30AB">
        <w:rPr>
          <w:rFonts w:ascii="Arial" w:hAnsi="Arial" w:cs="Arial"/>
          <w:sz w:val="24"/>
          <w:szCs w:val="24"/>
        </w:rPr>
        <w:lastRenderedPageBreak/>
        <w:t>If the concern involves the Centre Co-ordinator or if you feel uncomfortable raising it with them, you can escalate the matter to the African Heritage Alliance Board of Trustees.</w:t>
      </w:r>
    </w:p>
    <w:p w14:paraId="20208770" w14:textId="77777777" w:rsidR="000F30AB" w:rsidRPr="000F30AB" w:rsidRDefault="000F30AB" w:rsidP="000F30AB">
      <w:pPr>
        <w:rPr>
          <w:rFonts w:ascii="Arial" w:hAnsi="Arial" w:cs="Arial"/>
          <w:sz w:val="24"/>
          <w:szCs w:val="24"/>
        </w:rPr>
      </w:pPr>
      <w:r w:rsidRPr="000F30AB">
        <w:rPr>
          <w:rFonts w:ascii="Arial" w:hAnsi="Arial" w:cs="Arial"/>
          <w:b/>
          <w:bCs/>
          <w:sz w:val="24"/>
          <w:szCs w:val="24"/>
        </w:rPr>
        <w:t>2</w:t>
      </w:r>
      <w:r w:rsidRPr="000F30AB">
        <w:rPr>
          <w:rFonts w:ascii="Arial" w:hAnsi="Arial" w:cs="Arial"/>
          <w:sz w:val="24"/>
          <w:szCs w:val="24"/>
        </w:rPr>
        <w:t xml:space="preserve">. </w:t>
      </w:r>
      <w:r w:rsidRPr="000F30AB">
        <w:rPr>
          <w:rFonts w:ascii="Arial" w:hAnsi="Arial" w:cs="Arial"/>
          <w:b/>
          <w:bCs/>
          <w:sz w:val="24"/>
          <w:szCs w:val="24"/>
        </w:rPr>
        <w:t>Reporting Methods</w:t>
      </w:r>
    </w:p>
    <w:p w14:paraId="1AF8A224" w14:textId="77777777" w:rsidR="000F30AB" w:rsidRPr="000F30AB" w:rsidRDefault="000F30AB" w:rsidP="000F30AB">
      <w:pPr>
        <w:rPr>
          <w:rFonts w:ascii="Arial" w:hAnsi="Arial" w:cs="Arial"/>
          <w:sz w:val="24"/>
          <w:szCs w:val="24"/>
        </w:rPr>
      </w:pPr>
      <w:r w:rsidRPr="000F30AB">
        <w:rPr>
          <w:rFonts w:ascii="Arial" w:hAnsi="Arial" w:cs="Arial"/>
          <w:sz w:val="24"/>
          <w:szCs w:val="24"/>
        </w:rPr>
        <w:t>You can report your concerns through the following channels:</w:t>
      </w:r>
    </w:p>
    <w:p w14:paraId="4F70F95F" w14:textId="77777777" w:rsidR="000F30AB" w:rsidRPr="000F30AB" w:rsidRDefault="000F30AB" w:rsidP="000F30AB">
      <w:pPr>
        <w:numPr>
          <w:ilvl w:val="0"/>
          <w:numId w:val="28"/>
        </w:numPr>
        <w:rPr>
          <w:rFonts w:ascii="Arial" w:hAnsi="Arial" w:cs="Arial"/>
          <w:sz w:val="24"/>
          <w:szCs w:val="24"/>
        </w:rPr>
      </w:pPr>
      <w:r w:rsidRPr="000F30AB">
        <w:rPr>
          <w:rFonts w:ascii="Arial" w:hAnsi="Arial" w:cs="Arial"/>
          <w:sz w:val="24"/>
          <w:szCs w:val="24"/>
        </w:rPr>
        <w:t>In Writing: Address your concerns to the Centre Co-ordinator or Trustees, marking them as "Confidential."</w:t>
      </w:r>
    </w:p>
    <w:p w14:paraId="3C1B977D" w14:textId="77777777" w:rsidR="000F30AB" w:rsidRPr="000F30AB" w:rsidRDefault="000F30AB" w:rsidP="000F30AB">
      <w:pPr>
        <w:numPr>
          <w:ilvl w:val="0"/>
          <w:numId w:val="28"/>
        </w:numPr>
        <w:rPr>
          <w:rFonts w:ascii="Arial" w:hAnsi="Arial" w:cs="Arial"/>
          <w:sz w:val="24"/>
          <w:szCs w:val="24"/>
        </w:rPr>
      </w:pPr>
      <w:r w:rsidRPr="000F30AB">
        <w:rPr>
          <w:rFonts w:ascii="Arial" w:hAnsi="Arial" w:cs="Arial"/>
          <w:sz w:val="24"/>
          <w:szCs w:val="24"/>
        </w:rPr>
        <w:t>Email: Use the designated whistleblowing email: [Insert Email Address].</w:t>
      </w:r>
    </w:p>
    <w:p w14:paraId="600B6AD3" w14:textId="69CE7E97" w:rsidR="000F30AB" w:rsidRPr="000F30AB" w:rsidRDefault="000F30AB" w:rsidP="000F30AB">
      <w:pPr>
        <w:numPr>
          <w:ilvl w:val="0"/>
          <w:numId w:val="28"/>
        </w:numPr>
        <w:rPr>
          <w:rFonts w:ascii="Arial" w:hAnsi="Arial" w:cs="Arial"/>
          <w:sz w:val="24"/>
          <w:szCs w:val="24"/>
        </w:rPr>
      </w:pPr>
      <w:r w:rsidRPr="000F30AB">
        <w:rPr>
          <w:rFonts w:ascii="Arial" w:hAnsi="Arial" w:cs="Arial"/>
          <w:sz w:val="24"/>
          <w:szCs w:val="24"/>
        </w:rPr>
        <w:t>In Person: Arrange a private meeting with the Centre Co-ordinator or Trustee.</w:t>
      </w:r>
    </w:p>
    <w:p w14:paraId="310E0535" w14:textId="77777777" w:rsidR="000F30AB" w:rsidRPr="000F30AB" w:rsidRDefault="000F30AB" w:rsidP="000F30AB">
      <w:pPr>
        <w:rPr>
          <w:rFonts w:ascii="Arial" w:hAnsi="Arial" w:cs="Arial"/>
          <w:sz w:val="24"/>
          <w:szCs w:val="24"/>
        </w:rPr>
      </w:pPr>
      <w:r w:rsidRPr="000F30AB">
        <w:rPr>
          <w:rFonts w:ascii="Arial" w:hAnsi="Arial" w:cs="Arial"/>
          <w:sz w:val="24"/>
          <w:szCs w:val="24"/>
        </w:rPr>
        <w:t>Confidentiality and Anonymity</w:t>
      </w:r>
    </w:p>
    <w:p w14:paraId="01EA92F5" w14:textId="77777777" w:rsidR="000F30AB" w:rsidRPr="000F30AB" w:rsidRDefault="000F30AB" w:rsidP="000F30AB">
      <w:pPr>
        <w:numPr>
          <w:ilvl w:val="0"/>
          <w:numId w:val="29"/>
        </w:numPr>
        <w:rPr>
          <w:rFonts w:ascii="Arial" w:hAnsi="Arial" w:cs="Arial"/>
          <w:sz w:val="24"/>
          <w:szCs w:val="24"/>
        </w:rPr>
      </w:pPr>
      <w:r w:rsidRPr="000F30AB">
        <w:rPr>
          <w:rFonts w:ascii="Arial" w:hAnsi="Arial" w:cs="Arial"/>
          <w:sz w:val="24"/>
          <w:szCs w:val="24"/>
        </w:rPr>
        <w:t>Whistleblowers are encouraged to identify themselves to facilitate a thorough investigation.</w:t>
      </w:r>
    </w:p>
    <w:p w14:paraId="1F14662C" w14:textId="77777777" w:rsidR="000F30AB" w:rsidRPr="000F30AB" w:rsidRDefault="000F30AB" w:rsidP="000F30AB">
      <w:pPr>
        <w:numPr>
          <w:ilvl w:val="0"/>
          <w:numId w:val="29"/>
        </w:numPr>
        <w:rPr>
          <w:rFonts w:ascii="Arial" w:hAnsi="Arial" w:cs="Arial"/>
          <w:sz w:val="24"/>
          <w:szCs w:val="24"/>
        </w:rPr>
      </w:pPr>
      <w:r w:rsidRPr="000F30AB">
        <w:rPr>
          <w:rFonts w:ascii="Arial" w:hAnsi="Arial" w:cs="Arial"/>
          <w:sz w:val="24"/>
          <w:szCs w:val="24"/>
        </w:rPr>
        <w:t>However, anonymous concerns will be considered if sufficient information is provided.</w:t>
      </w:r>
    </w:p>
    <w:p w14:paraId="5F1EE655" w14:textId="3D800B18" w:rsidR="000F30AB" w:rsidRPr="000F30AB" w:rsidRDefault="000F30AB" w:rsidP="000F30AB">
      <w:pPr>
        <w:numPr>
          <w:ilvl w:val="0"/>
          <w:numId w:val="29"/>
        </w:numPr>
        <w:rPr>
          <w:rFonts w:ascii="Arial" w:hAnsi="Arial" w:cs="Arial"/>
          <w:sz w:val="24"/>
          <w:szCs w:val="24"/>
        </w:rPr>
      </w:pPr>
      <w:r w:rsidRPr="000F30AB">
        <w:rPr>
          <w:rFonts w:ascii="Arial" w:hAnsi="Arial" w:cs="Arial"/>
          <w:sz w:val="24"/>
          <w:szCs w:val="24"/>
        </w:rPr>
        <w:t>All concerns will be handled with the strictest confidentiality. Information will only be shared on a need-to-know basis and in compliance with GDPR and other legal obligations.</w:t>
      </w:r>
    </w:p>
    <w:p w14:paraId="3F773BA5" w14:textId="77777777" w:rsidR="000F30AB" w:rsidRPr="000F30AB" w:rsidRDefault="000F30AB" w:rsidP="000F30AB">
      <w:pPr>
        <w:rPr>
          <w:rFonts w:ascii="Arial" w:hAnsi="Arial" w:cs="Arial"/>
          <w:sz w:val="24"/>
          <w:szCs w:val="24"/>
        </w:rPr>
      </w:pPr>
      <w:r w:rsidRPr="000F30AB">
        <w:rPr>
          <w:rFonts w:ascii="Arial" w:hAnsi="Arial" w:cs="Arial"/>
          <w:sz w:val="24"/>
          <w:szCs w:val="24"/>
        </w:rPr>
        <w:t>Investigation Process</w:t>
      </w:r>
    </w:p>
    <w:p w14:paraId="5C3810F1" w14:textId="77777777" w:rsidR="000F30AB" w:rsidRPr="000F30AB" w:rsidRDefault="000F30AB" w:rsidP="000F30AB">
      <w:pPr>
        <w:numPr>
          <w:ilvl w:val="0"/>
          <w:numId w:val="30"/>
        </w:numPr>
        <w:rPr>
          <w:rFonts w:ascii="Arial" w:hAnsi="Arial" w:cs="Arial"/>
          <w:sz w:val="24"/>
          <w:szCs w:val="24"/>
        </w:rPr>
      </w:pPr>
      <w:r w:rsidRPr="000F30AB">
        <w:rPr>
          <w:rFonts w:ascii="Arial" w:hAnsi="Arial" w:cs="Arial"/>
          <w:sz w:val="24"/>
          <w:szCs w:val="24"/>
        </w:rPr>
        <w:t>Acknowledgement:</w:t>
      </w:r>
    </w:p>
    <w:p w14:paraId="6DEECBE2" w14:textId="77777777" w:rsidR="000F30AB" w:rsidRPr="000F30AB" w:rsidRDefault="000F30AB" w:rsidP="000F30AB">
      <w:pPr>
        <w:numPr>
          <w:ilvl w:val="1"/>
          <w:numId w:val="30"/>
        </w:numPr>
        <w:rPr>
          <w:rFonts w:ascii="Arial" w:hAnsi="Arial" w:cs="Arial"/>
          <w:sz w:val="24"/>
          <w:szCs w:val="24"/>
        </w:rPr>
      </w:pPr>
      <w:r w:rsidRPr="000F30AB">
        <w:rPr>
          <w:rFonts w:ascii="Arial" w:hAnsi="Arial" w:cs="Arial"/>
          <w:sz w:val="24"/>
          <w:szCs w:val="24"/>
        </w:rPr>
        <w:t>The whistleblower will receive written confirmation that their concern has been received within five working days.</w:t>
      </w:r>
    </w:p>
    <w:p w14:paraId="7D10913D" w14:textId="77777777" w:rsidR="000F30AB" w:rsidRPr="000F30AB" w:rsidRDefault="000F30AB" w:rsidP="000F30AB">
      <w:pPr>
        <w:numPr>
          <w:ilvl w:val="0"/>
          <w:numId w:val="30"/>
        </w:numPr>
        <w:rPr>
          <w:rFonts w:ascii="Arial" w:hAnsi="Arial" w:cs="Arial"/>
          <w:sz w:val="24"/>
          <w:szCs w:val="24"/>
        </w:rPr>
      </w:pPr>
      <w:r w:rsidRPr="000F30AB">
        <w:rPr>
          <w:rFonts w:ascii="Arial" w:hAnsi="Arial" w:cs="Arial"/>
          <w:sz w:val="24"/>
          <w:szCs w:val="24"/>
        </w:rPr>
        <w:t>Initial Assessment:</w:t>
      </w:r>
    </w:p>
    <w:p w14:paraId="7FA0BFFA" w14:textId="77777777" w:rsidR="000F30AB" w:rsidRPr="000F30AB" w:rsidRDefault="000F30AB" w:rsidP="000F30AB">
      <w:pPr>
        <w:numPr>
          <w:ilvl w:val="1"/>
          <w:numId w:val="30"/>
        </w:numPr>
        <w:rPr>
          <w:rFonts w:ascii="Arial" w:hAnsi="Arial" w:cs="Arial"/>
          <w:sz w:val="24"/>
          <w:szCs w:val="24"/>
        </w:rPr>
      </w:pPr>
      <w:r w:rsidRPr="000F30AB">
        <w:rPr>
          <w:rFonts w:ascii="Arial" w:hAnsi="Arial" w:cs="Arial"/>
          <w:sz w:val="24"/>
          <w:szCs w:val="24"/>
        </w:rPr>
        <w:t>The Centre will conduct a preliminary assessment to determine whether the concern requires further investigation.</w:t>
      </w:r>
    </w:p>
    <w:p w14:paraId="54F1CC89" w14:textId="77777777" w:rsidR="000F30AB" w:rsidRPr="000F30AB" w:rsidRDefault="000F30AB" w:rsidP="000F30AB">
      <w:pPr>
        <w:numPr>
          <w:ilvl w:val="0"/>
          <w:numId w:val="30"/>
        </w:numPr>
        <w:rPr>
          <w:rFonts w:ascii="Arial" w:hAnsi="Arial" w:cs="Arial"/>
          <w:sz w:val="24"/>
          <w:szCs w:val="24"/>
        </w:rPr>
      </w:pPr>
      <w:r w:rsidRPr="000F30AB">
        <w:rPr>
          <w:rFonts w:ascii="Arial" w:hAnsi="Arial" w:cs="Arial"/>
          <w:sz w:val="24"/>
          <w:szCs w:val="24"/>
        </w:rPr>
        <w:t>Investigation:</w:t>
      </w:r>
    </w:p>
    <w:p w14:paraId="5B408134" w14:textId="77777777" w:rsidR="000F30AB" w:rsidRPr="000F30AB" w:rsidRDefault="000F30AB" w:rsidP="000F30AB">
      <w:pPr>
        <w:numPr>
          <w:ilvl w:val="1"/>
          <w:numId w:val="30"/>
        </w:numPr>
        <w:rPr>
          <w:rFonts w:ascii="Arial" w:hAnsi="Arial" w:cs="Arial"/>
          <w:sz w:val="24"/>
          <w:szCs w:val="24"/>
        </w:rPr>
      </w:pPr>
      <w:r w:rsidRPr="000F30AB">
        <w:rPr>
          <w:rFonts w:ascii="Arial" w:hAnsi="Arial" w:cs="Arial"/>
          <w:sz w:val="24"/>
          <w:szCs w:val="24"/>
        </w:rPr>
        <w:t>If warranted, a formal investigation will be conducted by an impartial individual or external party.</w:t>
      </w:r>
    </w:p>
    <w:p w14:paraId="54A99523" w14:textId="77777777" w:rsidR="000F30AB" w:rsidRPr="000F30AB" w:rsidRDefault="000F30AB" w:rsidP="000F30AB">
      <w:pPr>
        <w:numPr>
          <w:ilvl w:val="1"/>
          <w:numId w:val="30"/>
        </w:numPr>
        <w:rPr>
          <w:rFonts w:ascii="Arial" w:hAnsi="Arial" w:cs="Arial"/>
          <w:sz w:val="24"/>
          <w:szCs w:val="24"/>
        </w:rPr>
      </w:pPr>
      <w:r w:rsidRPr="000F30AB">
        <w:rPr>
          <w:rFonts w:ascii="Arial" w:hAnsi="Arial" w:cs="Arial"/>
          <w:sz w:val="24"/>
          <w:szCs w:val="24"/>
        </w:rPr>
        <w:t>The investigation may involve interviews, document reviews, and consultation with relevant authorities.</w:t>
      </w:r>
    </w:p>
    <w:p w14:paraId="08CB331D" w14:textId="77777777" w:rsidR="000F30AB" w:rsidRPr="000F30AB" w:rsidRDefault="000F30AB" w:rsidP="000F30AB">
      <w:pPr>
        <w:numPr>
          <w:ilvl w:val="0"/>
          <w:numId w:val="30"/>
        </w:numPr>
        <w:rPr>
          <w:rFonts w:ascii="Arial" w:hAnsi="Arial" w:cs="Arial"/>
          <w:sz w:val="24"/>
          <w:szCs w:val="24"/>
        </w:rPr>
      </w:pPr>
      <w:r w:rsidRPr="000F30AB">
        <w:rPr>
          <w:rFonts w:ascii="Arial" w:hAnsi="Arial" w:cs="Arial"/>
          <w:sz w:val="24"/>
          <w:szCs w:val="24"/>
        </w:rPr>
        <w:t>Outcome:</w:t>
      </w:r>
    </w:p>
    <w:p w14:paraId="722D00C4" w14:textId="4A08D8F3" w:rsidR="000F30AB" w:rsidRPr="000F30AB" w:rsidRDefault="000F30AB" w:rsidP="000F30AB">
      <w:pPr>
        <w:numPr>
          <w:ilvl w:val="1"/>
          <w:numId w:val="30"/>
        </w:numPr>
        <w:rPr>
          <w:rFonts w:ascii="Arial" w:hAnsi="Arial" w:cs="Arial"/>
          <w:sz w:val="24"/>
          <w:szCs w:val="24"/>
        </w:rPr>
      </w:pPr>
      <w:r w:rsidRPr="000F30AB">
        <w:rPr>
          <w:rFonts w:ascii="Arial" w:hAnsi="Arial" w:cs="Arial"/>
          <w:sz w:val="24"/>
          <w:szCs w:val="24"/>
        </w:rPr>
        <w:lastRenderedPageBreak/>
        <w:t>A summary of findings and actions taken will be communicated to the whistleblower where appropriate, while respecting the privacy of those involved.</w:t>
      </w:r>
    </w:p>
    <w:p w14:paraId="43835A03"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Protection for Whistleblowers</w:t>
      </w:r>
    </w:p>
    <w:p w14:paraId="2120F3D7" w14:textId="77777777" w:rsidR="000F30AB" w:rsidRPr="000F30AB" w:rsidRDefault="000F30AB" w:rsidP="000F30AB">
      <w:pPr>
        <w:numPr>
          <w:ilvl w:val="0"/>
          <w:numId w:val="31"/>
        </w:numPr>
        <w:rPr>
          <w:rFonts w:ascii="Arial" w:hAnsi="Arial" w:cs="Arial"/>
          <w:sz w:val="24"/>
          <w:szCs w:val="24"/>
        </w:rPr>
      </w:pPr>
      <w:r w:rsidRPr="000F30AB">
        <w:rPr>
          <w:rFonts w:ascii="Arial" w:hAnsi="Arial" w:cs="Arial"/>
          <w:sz w:val="24"/>
          <w:szCs w:val="24"/>
        </w:rPr>
        <w:t>The African Heritage Alliance is committed to protecting whistleblowers from retaliation, including dismissal, harassment, or victimisation.</w:t>
      </w:r>
    </w:p>
    <w:p w14:paraId="4DCF33EC" w14:textId="05EBE6A1" w:rsidR="000F30AB" w:rsidRPr="000F30AB" w:rsidRDefault="000F30AB" w:rsidP="000F30AB">
      <w:pPr>
        <w:numPr>
          <w:ilvl w:val="0"/>
          <w:numId w:val="31"/>
        </w:numPr>
        <w:rPr>
          <w:rFonts w:ascii="Arial" w:hAnsi="Arial" w:cs="Arial"/>
          <w:sz w:val="24"/>
          <w:szCs w:val="24"/>
        </w:rPr>
      </w:pPr>
      <w:r w:rsidRPr="000F30AB">
        <w:rPr>
          <w:rFonts w:ascii="Arial" w:hAnsi="Arial" w:cs="Arial"/>
          <w:sz w:val="24"/>
          <w:szCs w:val="24"/>
        </w:rPr>
        <w:t>Any individual found to have retaliated against a whistleblower will face disciplinary action.</w:t>
      </w:r>
    </w:p>
    <w:p w14:paraId="2107C83E"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False Allegations</w:t>
      </w:r>
    </w:p>
    <w:p w14:paraId="4299AE64" w14:textId="77777777" w:rsidR="000F30AB" w:rsidRPr="000F30AB" w:rsidRDefault="000F30AB" w:rsidP="000F30AB">
      <w:pPr>
        <w:numPr>
          <w:ilvl w:val="0"/>
          <w:numId w:val="32"/>
        </w:numPr>
        <w:rPr>
          <w:rFonts w:ascii="Arial" w:hAnsi="Arial" w:cs="Arial"/>
          <w:sz w:val="24"/>
          <w:szCs w:val="24"/>
        </w:rPr>
      </w:pPr>
      <w:r w:rsidRPr="000F30AB">
        <w:rPr>
          <w:rFonts w:ascii="Arial" w:hAnsi="Arial" w:cs="Arial"/>
          <w:sz w:val="24"/>
          <w:szCs w:val="24"/>
        </w:rPr>
        <w:t>Raising a genuine concern is encouraged and supported, even if it proves to be unfounded.</w:t>
      </w:r>
    </w:p>
    <w:p w14:paraId="28D436A1" w14:textId="10B0F107" w:rsidR="000F30AB" w:rsidRPr="000F30AB" w:rsidRDefault="000F30AB" w:rsidP="000F30AB">
      <w:pPr>
        <w:numPr>
          <w:ilvl w:val="0"/>
          <w:numId w:val="32"/>
        </w:numPr>
        <w:rPr>
          <w:rFonts w:ascii="Arial" w:hAnsi="Arial" w:cs="Arial"/>
          <w:sz w:val="24"/>
          <w:szCs w:val="24"/>
        </w:rPr>
      </w:pPr>
      <w:r w:rsidRPr="000F30AB">
        <w:rPr>
          <w:rFonts w:ascii="Arial" w:hAnsi="Arial" w:cs="Arial"/>
          <w:sz w:val="24"/>
          <w:szCs w:val="24"/>
        </w:rPr>
        <w:t>However, knowingly making false or malicious allegations is a serious matter and may result in disciplinary action.</w:t>
      </w:r>
    </w:p>
    <w:p w14:paraId="7040904F"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Reporting to External Authorities</w:t>
      </w:r>
    </w:p>
    <w:p w14:paraId="77ED0E06" w14:textId="77777777" w:rsidR="000F30AB" w:rsidRDefault="000F30AB" w:rsidP="000F30AB">
      <w:pPr>
        <w:rPr>
          <w:rFonts w:ascii="Arial" w:hAnsi="Arial" w:cs="Arial"/>
          <w:sz w:val="24"/>
          <w:szCs w:val="24"/>
        </w:rPr>
      </w:pPr>
      <w:r w:rsidRPr="000F30AB">
        <w:rPr>
          <w:rFonts w:ascii="Arial" w:hAnsi="Arial" w:cs="Arial"/>
          <w:sz w:val="24"/>
          <w:szCs w:val="24"/>
        </w:rPr>
        <w:t>If you feel that your concerns have not been adequately addressed internally, you may report them to external authorities, such as:</w:t>
      </w:r>
    </w:p>
    <w:p w14:paraId="3BEF8F16" w14:textId="7C080E64" w:rsidR="00794CB4" w:rsidRPr="00794CB4" w:rsidRDefault="00794CB4" w:rsidP="00794CB4">
      <w:pPr>
        <w:pStyle w:val="ListParagraph"/>
        <w:numPr>
          <w:ilvl w:val="0"/>
          <w:numId w:val="33"/>
        </w:numPr>
        <w:rPr>
          <w:rFonts w:ascii="Arial" w:hAnsi="Arial" w:cs="Arial"/>
          <w:sz w:val="24"/>
          <w:szCs w:val="24"/>
        </w:rPr>
      </w:pPr>
      <w:r w:rsidRPr="00794CB4">
        <w:rPr>
          <w:rFonts w:ascii="Arial" w:hAnsi="Arial" w:cs="Arial"/>
          <w:sz w:val="24"/>
          <w:szCs w:val="24"/>
        </w:rPr>
        <w:t>Local Authority Children’s Services Duty Team (24hr service): 0116 454 1004</w:t>
      </w:r>
    </w:p>
    <w:p w14:paraId="1ACB2F7E" w14:textId="77777777" w:rsidR="000F30AB" w:rsidRPr="000F30AB" w:rsidRDefault="000F30AB" w:rsidP="000F30AB">
      <w:pPr>
        <w:numPr>
          <w:ilvl w:val="0"/>
          <w:numId w:val="33"/>
        </w:numPr>
        <w:rPr>
          <w:rFonts w:ascii="Arial" w:hAnsi="Arial" w:cs="Arial"/>
          <w:sz w:val="24"/>
          <w:szCs w:val="24"/>
        </w:rPr>
      </w:pPr>
      <w:r w:rsidRPr="000F30AB">
        <w:rPr>
          <w:rFonts w:ascii="Arial" w:hAnsi="Arial" w:cs="Arial"/>
          <w:sz w:val="24"/>
          <w:szCs w:val="24"/>
        </w:rPr>
        <w:t>Local Authority Designated Officer (LADO).</w:t>
      </w:r>
    </w:p>
    <w:p w14:paraId="7FE9BC8D" w14:textId="77777777" w:rsidR="000F30AB" w:rsidRPr="000F30AB" w:rsidRDefault="000F30AB" w:rsidP="000F30AB">
      <w:pPr>
        <w:numPr>
          <w:ilvl w:val="0"/>
          <w:numId w:val="33"/>
        </w:numPr>
        <w:rPr>
          <w:rFonts w:ascii="Arial" w:hAnsi="Arial" w:cs="Arial"/>
          <w:sz w:val="24"/>
          <w:szCs w:val="24"/>
        </w:rPr>
      </w:pPr>
      <w:r w:rsidRPr="000F30AB">
        <w:rPr>
          <w:rFonts w:ascii="Arial" w:hAnsi="Arial" w:cs="Arial"/>
          <w:sz w:val="24"/>
          <w:szCs w:val="24"/>
        </w:rPr>
        <w:t>Ofsted (for safeguarding concerns).</w:t>
      </w:r>
    </w:p>
    <w:p w14:paraId="44F36DE0" w14:textId="77777777" w:rsidR="000F30AB" w:rsidRPr="000F30AB" w:rsidRDefault="000F30AB" w:rsidP="000F30AB">
      <w:pPr>
        <w:numPr>
          <w:ilvl w:val="0"/>
          <w:numId w:val="33"/>
        </w:numPr>
        <w:rPr>
          <w:rFonts w:ascii="Arial" w:hAnsi="Arial" w:cs="Arial"/>
          <w:sz w:val="24"/>
          <w:szCs w:val="24"/>
        </w:rPr>
      </w:pPr>
      <w:r w:rsidRPr="000F30AB">
        <w:rPr>
          <w:rFonts w:ascii="Arial" w:hAnsi="Arial" w:cs="Arial"/>
          <w:sz w:val="24"/>
          <w:szCs w:val="24"/>
        </w:rPr>
        <w:t>The Health and Safety Executive (HSE).</w:t>
      </w:r>
    </w:p>
    <w:p w14:paraId="0BBB4BAD" w14:textId="64D58B1C" w:rsidR="000F30AB" w:rsidRPr="000F30AB" w:rsidRDefault="000F30AB" w:rsidP="000F30AB">
      <w:pPr>
        <w:numPr>
          <w:ilvl w:val="0"/>
          <w:numId w:val="33"/>
        </w:numPr>
        <w:rPr>
          <w:rFonts w:ascii="Arial" w:hAnsi="Arial" w:cs="Arial"/>
          <w:sz w:val="24"/>
          <w:szCs w:val="24"/>
        </w:rPr>
      </w:pPr>
      <w:r w:rsidRPr="000F30AB">
        <w:rPr>
          <w:rFonts w:ascii="Arial" w:hAnsi="Arial" w:cs="Arial"/>
          <w:sz w:val="24"/>
          <w:szCs w:val="24"/>
        </w:rPr>
        <w:t>The Information Commissioner's Office (ICO).</w:t>
      </w:r>
    </w:p>
    <w:p w14:paraId="2B52D1D7" w14:textId="77777777" w:rsidR="000F30AB" w:rsidRPr="000F30AB" w:rsidRDefault="000F30AB" w:rsidP="000F30AB">
      <w:pPr>
        <w:rPr>
          <w:rFonts w:ascii="Arial" w:hAnsi="Arial" w:cs="Arial"/>
          <w:b/>
          <w:bCs/>
          <w:sz w:val="24"/>
          <w:szCs w:val="24"/>
        </w:rPr>
      </w:pPr>
      <w:r w:rsidRPr="000F30AB">
        <w:rPr>
          <w:rFonts w:ascii="Arial" w:hAnsi="Arial" w:cs="Arial"/>
          <w:b/>
          <w:bCs/>
          <w:sz w:val="24"/>
          <w:szCs w:val="24"/>
        </w:rPr>
        <w:t>Monitoring and Review</w:t>
      </w:r>
    </w:p>
    <w:p w14:paraId="2348DC1B" w14:textId="77777777" w:rsidR="000F30AB" w:rsidRPr="000F30AB" w:rsidRDefault="000F30AB" w:rsidP="000F30AB">
      <w:pPr>
        <w:rPr>
          <w:rFonts w:ascii="Arial" w:hAnsi="Arial" w:cs="Arial"/>
          <w:sz w:val="24"/>
          <w:szCs w:val="24"/>
        </w:rPr>
      </w:pPr>
      <w:r w:rsidRPr="000F30AB">
        <w:rPr>
          <w:rFonts w:ascii="Arial" w:hAnsi="Arial" w:cs="Arial"/>
          <w:sz w:val="24"/>
          <w:szCs w:val="24"/>
        </w:rPr>
        <w:t>This policy will be reviewed annually to ensure it remains in line with UK legislation and best practices.</w:t>
      </w:r>
    </w:p>
    <w:p w14:paraId="34E5562D" w14:textId="77777777" w:rsidR="009D2E04" w:rsidRPr="000F30AB" w:rsidRDefault="009D2E04" w:rsidP="000F30AB">
      <w:pPr>
        <w:rPr>
          <w:rFonts w:ascii="Arial" w:hAnsi="Arial" w:cs="Arial"/>
          <w:sz w:val="24"/>
          <w:szCs w:val="24"/>
        </w:rPr>
      </w:pPr>
    </w:p>
    <w:sectPr w:rsidR="009D2E04" w:rsidRPr="000F30A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8766" w14:textId="77777777" w:rsidR="0049455F" w:rsidRDefault="0049455F" w:rsidP="00E93B04">
      <w:pPr>
        <w:spacing w:after="0" w:line="240" w:lineRule="auto"/>
      </w:pPr>
      <w:r>
        <w:separator/>
      </w:r>
    </w:p>
  </w:endnote>
  <w:endnote w:type="continuationSeparator" w:id="0">
    <w:p w14:paraId="69604E48" w14:textId="77777777" w:rsidR="0049455F" w:rsidRDefault="0049455F"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4E1145F9" w:rsidR="00E93B04" w:rsidRDefault="008F0322">
    <w:pPr>
      <w:pStyle w:val="Footer"/>
      <w:jc w:val="right"/>
    </w:pPr>
    <w:r>
      <w:t>AHA</w:t>
    </w:r>
    <w:r w:rsidR="00E93B04">
      <w:t xml:space="preserve"> </w:t>
    </w:r>
    <w:r w:rsidR="000F30AB">
      <w:t xml:space="preserve">Whistleblowing </w:t>
    </w:r>
    <w:r w:rsidR="003357AA">
      <w:t>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BEF7" w14:textId="77777777" w:rsidR="0049455F" w:rsidRDefault="0049455F" w:rsidP="00E93B04">
      <w:pPr>
        <w:spacing w:after="0" w:line="240" w:lineRule="auto"/>
      </w:pPr>
      <w:r>
        <w:separator/>
      </w:r>
    </w:p>
  </w:footnote>
  <w:footnote w:type="continuationSeparator" w:id="0">
    <w:p w14:paraId="7AD4AC7B" w14:textId="77777777" w:rsidR="0049455F" w:rsidRDefault="0049455F"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142"/>
    <w:multiLevelType w:val="multilevel"/>
    <w:tmpl w:val="F8D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4DAA"/>
    <w:multiLevelType w:val="multilevel"/>
    <w:tmpl w:val="4E0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84A8E"/>
    <w:multiLevelType w:val="multilevel"/>
    <w:tmpl w:val="E2F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7307D"/>
    <w:multiLevelType w:val="multilevel"/>
    <w:tmpl w:val="D46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942A0"/>
    <w:multiLevelType w:val="multilevel"/>
    <w:tmpl w:val="4AE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C2A31"/>
    <w:multiLevelType w:val="multilevel"/>
    <w:tmpl w:val="A5F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3963CA"/>
    <w:multiLevelType w:val="multilevel"/>
    <w:tmpl w:val="1C7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061EE"/>
    <w:multiLevelType w:val="multilevel"/>
    <w:tmpl w:val="79D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36319"/>
    <w:multiLevelType w:val="multilevel"/>
    <w:tmpl w:val="0048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5C3080"/>
    <w:multiLevelType w:val="multilevel"/>
    <w:tmpl w:val="996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65179"/>
    <w:multiLevelType w:val="multilevel"/>
    <w:tmpl w:val="8796F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415D5"/>
    <w:multiLevelType w:val="multilevel"/>
    <w:tmpl w:val="71EAB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37786"/>
    <w:multiLevelType w:val="multilevel"/>
    <w:tmpl w:val="2CA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354BB"/>
    <w:multiLevelType w:val="multilevel"/>
    <w:tmpl w:val="8EC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321454"/>
    <w:multiLevelType w:val="multilevel"/>
    <w:tmpl w:val="041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050832"/>
    <w:multiLevelType w:val="multilevel"/>
    <w:tmpl w:val="1BD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D0EBB"/>
    <w:multiLevelType w:val="multilevel"/>
    <w:tmpl w:val="9A9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16"/>
  </w:num>
  <w:num w:numId="2" w16cid:durableId="952401901">
    <w:abstractNumId w:val="10"/>
  </w:num>
  <w:num w:numId="3" w16cid:durableId="1254784411">
    <w:abstractNumId w:val="27"/>
  </w:num>
  <w:num w:numId="4" w16cid:durableId="1579441504">
    <w:abstractNumId w:val="12"/>
  </w:num>
  <w:num w:numId="5" w16cid:durableId="81991817">
    <w:abstractNumId w:val="29"/>
  </w:num>
  <w:num w:numId="6" w16cid:durableId="587662002">
    <w:abstractNumId w:val="2"/>
  </w:num>
  <w:num w:numId="7" w16cid:durableId="355081114">
    <w:abstractNumId w:val="3"/>
  </w:num>
  <w:num w:numId="8" w16cid:durableId="1533836191">
    <w:abstractNumId w:val="7"/>
  </w:num>
  <w:num w:numId="9" w16cid:durableId="469712372">
    <w:abstractNumId w:val="23"/>
  </w:num>
  <w:num w:numId="10" w16cid:durableId="1545828066">
    <w:abstractNumId w:val="14"/>
  </w:num>
  <w:num w:numId="11" w16cid:durableId="1493638666">
    <w:abstractNumId w:val="9"/>
  </w:num>
  <w:num w:numId="12" w16cid:durableId="262962991">
    <w:abstractNumId w:val="8"/>
  </w:num>
  <w:num w:numId="13" w16cid:durableId="1892879614">
    <w:abstractNumId w:val="31"/>
  </w:num>
  <w:num w:numId="14" w16cid:durableId="1434012152">
    <w:abstractNumId w:val="6"/>
  </w:num>
  <w:num w:numId="15" w16cid:durableId="668676745">
    <w:abstractNumId w:val="32"/>
  </w:num>
  <w:num w:numId="16" w16cid:durableId="220218407">
    <w:abstractNumId w:val="1"/>
  </w:num>
  <w:num w:numId="17" w16cid:durableId="966936492">
    <w:abstractNumId w:val="13"/>
  </w:num>
  <w:num w:numId="18" w16cid:durableId="278269000">
    <w:abstractNumId w:val="25"/>
  </w:num>
  <w:num w:numId="19" w16cid:durableId="1316109825">
    <w:abstractNumId w:val="24"/>
  </w:num>
  <w:num w:numId="20" w16cid:durableId="698434857">
    <w:abstractNumId w:val="22"/>
  </w:num>
  <w:num w:numId="21" w16cid:durableId="637496836">
    <w:abstractNumId w:val="26"/>
  </w:num>
  <w:num w:numId="22" w16cid:durableId="1924140794">
    <w:abstractNumId w:val="19"/>
  </w:num>
  <w:num w:numId="23" w16cid:durableId="1159996900">
    <w:abstractNumId w:val="17"/>
  </w:num>
  <w:num w:numId="24" w16cid:durableId="277571294">
    <w:abstractNumId w:val="15"/>
  </w:num>
  <w:num w:numId="25" w16cid:durableId="1132600792">
    <w:abstractNumId w:val="0"/>
  </w:num>
  <w:num w:numId="26" w16cid:durableId="693925048">
    <w:abstractNumId w:val="4"/>
  </w:num>
  <w:num w:numId="27" w16cid:durableId="1622951158">
    <w:abstractNumId w:val="5"/>
  </w:num>
  <w:num w:numId="28" w16cid:durableId="1438523690">
    <w:abstractNumId w:val="20"/>
  </w:num>
  <w:num w:numId="29" w16cid:durableId="1606187978">
    <w:abstractNumId w:val="30"/>
  </w:num>
  <w:num w:numId="30" w16cid:durableId="529610233">
    <w:abstractNumId w:val="21"/>
  </w:num>
  <w:num w:numId="31" w16cid:durableId="1774083894">
    <w:abstractNumId w:val="18"/>
  </w:num>
  <w:num w:numId="32" w16cid:durableId="976842559">
    <w:abstractNumId w:val="28"/>
  </w:num>
  <w:num w:numId="33" w16cid:durableId="60577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F30AB"/>
    <w:rsid w:val="000F47C5"/>
    <w:rsid w:val="001B1F40"/>
    <w:rsid w:val="002024AD"/>
    <w:rsid w:val="002410F1"/>
    <w:rsid w:val="003357AA"/>
    <w:rsid w:val="00356A1C"/>
    <w:rsid w:val="0038127C"/>
    <w:rsid w:val="0038177E"/>
    <w:rsid w:val="003A0948"/>
    <w:rsid w:val="003C6A41"/>
    <w:rsid w:val="003E1E2C"/>
    <w:rsid w:val="004119F0"/>
    <w:rsid w:val="00417333"/>
    <w:rsid w:val="004465B1"/>
    <w:rsid w:val="00486428"/>
    <w:rsid w:val="0049455F"/>
    <w:rsid w:val="004975F7"/>
    <w:rsid w:val="00557C87"/>
    <w:rsid w:val="005A0446"/>
    <w:rsid w:val="005C1C6E"/>
    <w:rsid w:val="005D11FA"/>
    <w:rsid w:val="005F088B"/>
    <w:rsid w:val="00643DB2"/>
    <w:rsid w:val="006559FA"/>
    <w:rsid w:val="006A0E99"/>
    <w:rsid w:val="00737D58"/>
    <w:rsid w:val="00781F93"/>
    <w:rsid w:val="00794CB4"/>
    <w:rsid w:val="007B449B"/>
    <w:rsid w:val="007E6329"/>
    <w:rsid w:val="00827D75"/>
    <w:rsid w:val="008C2864"/>
    <w:rsid w:val="008F0322"/>
    <w:rsid w:val="008F7EC7"/>
    <w:rsid w:val="0094377F"/>
    <w:rsid w:val="009D2E04"/>
    <w:rsid w:val="009D730E"/>
    <w:rsid w:val="00A10FC7"/>
    <w:rsid w:val="00A54CB7"/>
    <w:rsid w:val="00A61C47"/>
    <w:rsid w:val="00A657F9"/>
    <w:rsid w:val="00A77C9D"/>
    <w:rsid w:val="00A956CA"/>
    <w:rsid w:val="00B24948"/>
    <w:rsid w:val="00B6636A"/>
    <w:rsid w:val="00B74808"/>
    <w:rsid w:val="00C71429"/>
    <w:rsid w:val="00CA29B4"/>
    <w:rsid w:val="00CE685A"/>
    <w:rsid w:val="00CF6EB8"/>
    <w:rsid w:val="00D231CD"/>
    <w:rsid w:val="00D743D5"/>
    <w:rsid w:val="00D952A2"/>
    <w:rsid w:val="00D95F89"/>
    <w:rsid w:val="00DA0322"/>
    <w:rsid w:val="00DB243A"/>
    <w:rsid w:val="00DE7C15"/>
    <w:rsid w:val="00DF412B"/>
    <w:rsid w:val="00E461BB"/>
    <w:rsid w:val="00E50799"/>
    <w:rsid w:val="00E84E73"/>
    <w:rsid w:val="00E93B04"/>
    <w:rsid w:val="00EA106E"/>
    <w:rsid w:val="00EF04B1"/>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9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296420585">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29338110">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710304375">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547834958">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E91C0-C097-4A7C-B5A8-454D86FDFEE5}">
  <ds:schemaRefs>
    <ds:schemaRef ds:uri="http://schemas.openxmlformats.org/officeDocument/2006/bibliography"/>
  </ds:schemaRefs>
</ds:datastoreItem>
</file>

<file path=customXml/itemProps2.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3.xml><?xml version="1.0" encoding="utf-8"?>
<ds:datastoreItem xmlns:ds="http://schemas.openxmlformats.org/officeDocument/2006/customXml" ds:itemID="{8ADCE433-E566-4590-9C9B-6F64AD5E52E4}"/>
</file>

<file path=customXml/itemProps4.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4</cp:revision>
  <dcterms:created xsi:type="dcterms:W3CDTF">2024-12-04T12:43:00Z</dcterms:created>
  <dcterms:modified xsi:type="dcterms:W3CDTF">2024-12-04T12:47:00Z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