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EB14C" w14:textId="77777777" w:rsidR="008F0322" w:rsidRPr="00B75E5F" w:rsidRDefault="008F0322" w:rsidP="009D730E">
      <w:pPr>
        <w:spacing w:after="0" w:line="240" w:lineRule="auto"/>
        <w:rPr>
          <w:b/>
          <w:color w:val="317A8B"/>
          <w:sz w:val="32"/>
          <w:szCs w:val="32"/>
        </w:rPr>
      </w:pPr>
      <w:r w:rsidRPr="00B75E5F">
        <w:rPr>
          <w:b/>
          <w:color w:val="317A8B"/>
          <w:sz w:val="32"/>
          <w:szCs w:val="32"/>
        </w:rPr>
        <w:t>African Heritage Alliance (‘AHA’)</w:t>
      </w:r>
    </w:p>
    <w:p w14:paraId="0AFE357A" w14:textId="318AF884" w:rsidR="007F5B46" w:rsidRPr="00B75E5F" w:rsidRDefault="001449CF" w:rsidP="007F5B46">
      <w:pPr>
        <w:rPr>
          <w:b/>
          <w:color w:val="317A8B"/>
          <w:sz w:val="32"/>
          <w:szCs w:val="32"/>
        </w:rPr>
      </w:pPr>
      <w:r w:rsidRPr="00B75E5F">
        <w:rPr>
          <w:b/>
          <w:color w:val="317A8B"/>
          <w:sz w:val="32"/>
          <w:szCs w:val="32"/>
        </w:rPr>
        <w:t xml:space="preserve">Equality and Inclusion Policy </w:t>
      </w:r>
    </w:p>
    <w:p w14:paraId="5040C947" w14:textId="77777777" w:rsidR="001449CF" w:rsidRPr="001449CF" w:rsidRDefault="001449CF" w:rsidP="001449CF">
      <w:pPr>
        <w:rPr>
          <w:rFonts w:ascii="Arial" w:hAnsi="Arial" w:cs="Arial"/>
          <w:b/>
          <w:sz w:val="24"/>
          <w:szCs w:val="24"/>
        </w:rPr>
      </w:pPr>
      <w:r w:rsidRPr="001449CF">
        <w:rPr>
          <w:rFonts w:ascii="Arial" w:hAnsi="Arial" w:cs="Arial"/>
          <w:b/>
          <w:sz w:val="24"/>
          <w:szCs w:val="24"/>
        </w:rPr>
        <w:t>Introduction</w:t>
      </w:r>
    </w:p>
    <w:p w14:paraId="60769477" w14:textId="77777777" w:rsidR="001449CF" w:rsidRPr="001449CF" w:rsidRDefault="001449CF" w:rsidP="001449CF">
      <w:pPr>
        <w:rPr>
          <w:rFonts w:ascii="Arial" w:hAnsi="Arial" w:cs="Arial"/>
          <w:bCs/>
          <w:sz w:val="24"/>
          <w:szCs w:val="24"/>
        </w:rPr>
      </w:pPr>
      <w:r w:rsidRPr="001449CF">
        <w:rPr>
          <w:rFonts w:ascii="Arial" w:hAnsi="Arial" w:cs="Arial"/>
          <w:bCs/>
          <w:sz w:val="24"/>
          <w:szCs w:val="24"/>
        </w:rPr>
        <w:t>The African Heritage Alliance (AHA), as custodians of the African Caribbean Centre, is firmly committed to promoting equality, diversity, and inclusion in every aspect of our organisation. As a Black-led organisation, we are dedicated to advancing equity and justice for all individuals, with a particular focus on addressing systemic barriers faced by Black communities and other marginalised groups.</w:t>
      </w:r>
    </w:p>
    <w:p w14:paraId="402A73BF" w14:textId="77777777" w:rsidR="001449CF" w:rsidRPr="001449CF" w:rsidRDefault="001449CF" w:rsidP="001449CF">
      <w:pPr>
        <w:rPr>
          <w:rFonts w:ascii="Arial" w:hAnsi="Arial" w:cs="Arial"/>
          <w:bCs/>
          <w:sz w:val="24"/>
          <w:szCs w:val="24"/>
        </w:rPr>
      </w:pPr>
      <w:r w:rsidRPr="001449CF">
        <w:rPr>
          <w:rFonts w:ascii="Arial" w:hAnsi="Arial" w:cs="Arial"/>
          <w:bCs/>
          <w:sz w:val="24"/>
          <w:szCs w:val="24"/>
        </w:rPr>
        <w:t>Our mission is to foster a culture where everyone feels respected, valued, and empowered to contribute to and benefit from the African Caribbean Centre’s activities. We are determined to go above and beyond in championing equal opportunities and combating discrimination in all forms.</w:t>
      </w:r>
    </w:p>
    <w:p w14:paraId="37A72A0C" w14:textId="77777777" w:rsidR="001449CF" w:rsidRPr="001449CF" w:rsidRDefault="001449CF" w:rsidP="001449CF">
      <w:pPr>
        <w:rPr>
          <w:rFonts w:ascii="Arial" w:hAnsi="Arial" w:cs="Arial"/>
          <w:b/>
          <w:sz w:val="24"/>
          <w:szCs w:val="24"/>
        </w:rPr>
      </w:pPr>
      <w:r w:rsidRPr="001449CF">
        <w:rPr>
          <w:rFonts w:ascii="Arial" w:hAnsi="Arial" w:cs="Arial"/>
          <w:b/>
          <w:sz w:val="24"/>
          <w:szCs w:val="24"/>
        </w:rPr>
        <w:t>Scope of the Policy</w:t>
      </w:r>
    </w:p>
    <w:p w14:paraId="2304E906" w14:textId="77777777" w:rsidR="001449CF" w:rsidRPr="001449CF" w:rsidRDefault="001449CF" w:rsidP="001449CF">
      <w:pPr>
        <w:rPr>
          <w:rFonts w:ascii="Arial" w:hAnsi="Arial" w:cs="Arial"/>
          <w:bCs/>
          <w:sz w:val="24"/>
          <w:szCs w:val="24"/>
        </w:rPr>
      </w:pPr>
      <w:r w:rsidRPr="001449CF">
        <w:rPr>
          <w:rFonts w:ascii="Arial" w:hAnsi="Arial" w:cs="Arial"/>
          <w:bCs/>
          <w:sz w:val="24"/>
          <w:szCs w:val="24"/>
        </w:rPr>
        <w:t>This policy applies to:</w:t>
      </w:r>
    </w:p>
    <w:p w14:paraId="0E6C5CC8" w14:textId="77777777" w:rsidR="001449CF" w:rsidRPr="001449CF" w:rsidRDefault="001449CF" w:rsidP="001449CF">
      <w:pPr>
        <w:numPr>
          <w:ilvl w:val="0"/>
          <w:numId w:val="49"/>
        </w:numPr>
        <w:rPr>
          <w:rFonts w:ascii="Arial" w:hAnsi="Arial" w:cs="Arial"/>
          <w:bCs/>
          <w:sz w:val="24"/>
          <w:szCs w:val="24"/>
        </w:rPr>
      </w:pPr>
      <w:r w:rsidRPr="001449CF">
        <w:rPr>
          <w:rFonts w:ascii="Arial" w:hAnsi="Arial" w:cs="Arial"/>
          <w:bCs/>
          <w:sz w:val="24"/>
          <w:szCs w:val="24"/>
        </w:rPr>
        <w:t>Employees, contractors, and volunteers working for or with AHA.</w:t>
      </w:r>
    </w:p>
    <w:p w14:paraId="6E3010B6" w14:textId="77777777" w:rsidR="001449CF" w:rsidRPr="001449CF" w:rsidRDefault="001449CF" w:rsidP="001449CF">
      <w:pPr>
        <w:numPr>
          <w:ilvl w:val="0"/>
          <w:numId w:val="49"/>
        </w:numPr>
        <w:rPr>
          <w:rFonts w:ascii="Arial" w:hAnsi="Arial" w:cs="Arial"/>
          <w:bCs/>
          <w:sz w:val="24"/>
          <w:szCs w:val="24"/>
        </w:rPr>
      </w:pPr>
      <w:r w:rsidRPr="001449CF">
        <w:rPr>
          <w:rFonts w:ascii="Arial" w:hAnsi="Arial" w:cs="Arial"/>
          <w:bCs/>
          <w:sz w:val="24"/>
          <w:szCs w:val="24"/>
        </w:rPr>
        <w:t>Users and visitors of the African Caribbean Centre.</w:t>
      </w:r>
    </w:p>
    <w:p w14:paraId="44FE0ED4" w14:textId="77777777" w:rsidR="001449CF" w:rsidRPr="001449CF" w:rsidRDefault="001449CF" w:rsidP="001449CF">
      <w:pPr>
        <w:numPr>
          <w:ilvl w:val="0"/>
          <w:numId w:val="49"/>
        </w:numPr>
        <w:rPr>
          <w:rFonts w:ascii="Arial" w:hAnsi="Arial" w:cs="Arial"/>
          <w:bCs/>
          <w:sz w:val="24"/>
          <w:szCs w:val="24"/>
        </w:rPr>
      </w:pPr>
      <w:r w:rsidRPr="001449CF">
        <w:rPr>
          <w:rFonts w:ascii="Arial" w:hAnsi="Arial" w:cs="Arial"/>
          <w:bCs/>
          <w:sz w:val="24"/>
          <w:szCs w:val="24"/>
        </w:rPr>
        <w:t>Partners, stakeholders, and service providers engaged with AHA.</w:t>
      </w:r>
    </w:p>
    <w:p w14:paraId="618BA677" w14:textId="77777777" w:rsidR="001449CF" w:rsidRPr="001449CF" w:rsidRDefault="001449CF" w:rsidP="001449CF">
      <w:pPr>
        <w:rPr>
          <w:rFonts w:ascii="Arial" w:hAnsi="Arial" w:cs="Arial"/>
          <w:b/>
          <w:sz w:val="24"/>
          <w:szCs w:val="24"/>
        </w:rPr>
      </w:pPr>
      <w:r w:rsidRPr="001449CF">
        <w:rPr>
          <w:rFonts w:ascii="Arial" w:hAnsi="Arial" w:cs="Arial"/>
          <w:b/>
          <w:sz w:val="24"/>
          <w:szCs w:val="24"/>
        </w:rPr>
        <w:t>Core Principles</w:t>
      </w:r>
    </w:p>
    <w:p w14:paraId="457E2010" w14:textId="77777777" w:rsidR="001449CF" w:rsidRPr="001449CF" w:rsidRDefault="001449CF" w:rsidP="001449CF">
      <w:pPr>
        <w:numPr>
          <w:ilvl w:val="0"/>
          <w:numId w:val="50"/>
        </w:numPr>
        <w:rPr>
          <w:rFonts w:ascii="Arial" w:hAnsi="Arial" w:cs="Arial"/>
          <w:bCs/>
          <w:sz w:val="24"/>
          <w:szCs w:val="24"/>
        </w:rPr>
      </w:pPr>
      <w:r w:rsidRPr="001449CF">
        <w:rPr>
          <w:rFonts w:ascii="Arial" w:hAnsi="Arial" w:cs="Arial"/>
          <w:bCs/>
          <w:sz w:val="24"/>
          <w:szCs w:val="24"/>
        </w:rPr>
        <w:t>Commitment to Anti-Discrimination</w:t>
      </w:r>
      <w:r w:rsidRPr="001449CF">
        <w:rPr>
          <w:rFonts w:ascii="Arial" w:hAnsi="Arial" w:cs="Arial"/>
          <w:bCs/>
          <w:sz w:val="24"/>
          <w:szCs w:val="24"/>
        </w:rPr>
        <w:br/>
        <w:t>We unequivocally oppose all forms of discrimination, harassment, and victimisation on the grounds of race, ethnicity, nationality, religion or belief, sex, gender identity, sexual orientation, disability, age, marital status, pregnancy, or socio-economic background.</w:t>
      </w:r>
    </w:p>
    <w:p w14:paraId="12A0D0D2" w14:textId="77777777" w:rsidR="001449CF" w:rsidRPr="001449CF" w:rsidRDefault="001449CF" w:rsidP="001449CF">
      <w:pPr>
        <w:numPr>
          <w:ilvl w:val="0"/>
          <w:numId w:val="50"/>
        </w:numPr>
        <w:rPr>
          <w:rFonts w:ascii="Arial" w:hAnsi="Arial" w:cs="Arial"/>
          <w:bCs/>
          <w:sz w:val="24"/>
          <w:szCs w:val="24"/>
        </w:rPr>
      </w:pPr>
      <w:r w:rsidRPr="001449CF">
        <w:rPr>
          <w:rFonts w:ascii="Arial" w:hAnsi="Arial" w:cs="Arial"/>
          <w:bCs/>
          <w:sz w:val="24"/>
          <w:szCs w:val="24"/>
        </w:rPr>
        <w:t>Affirming Black Leadership and Empowerment</w:t>
      </w:r>
      <w:r w:rsidRPr="001449CF">
        <w:rPr>
          <w:rFonts w:ascii="Arial" w:hAnsi="Arial" w:cs="Arial"/>
          <w:bCs/>
          <w:sz w:val="24"/>
          <w:szCs w:val="24"/>
        </w:rPr>
        <w:br/>
        <w:t>As a Black-led organisation, we are deeply committed to creating opportunities for Black communities. We aim to:</w:t>
      </w:r>
    </w:p>
    <w:p w14:paraId="3E77B4F2" w14:textId="77777777" w:rsidR="001449CF" w:rsidRPr="001449CF" w:rsidRDefault="001449CF" w:rsidP="001449CF">
      <w:pPr>
        <w:numPr>
          <w:ilvl w:val="1"/>
          <w:numId w:val="50"/>
        </w:numPr>
        <w:rPr>
          <w:rFonts w:ascii="Arial" w:hAnsi="Arial" w:cs="Arial"/>
          <w:bCs/>
          <w:sz w:val="24"/>
          <w:szCs w:val="24"/>
        </w:rPr>
      </w:pPr>
      <w:r w:rsidRPr="001449CF">
        <w:rPr>
          <w:rFonts w:ascii="Arial" w:hAnsi="Arial" w:cs="Arial"/>
          <w:bCs/>
          <w:sz w:val="24"/>
          <w:szCs w:val="24"/>
        </w:rPr>
        <w:t>Amplify Black voices in decision-making and leadership roles.</w:t>
      </w:r>
    </w:p>
    <w:p w14:paraId="11658BA6" w14:textId="77777777" w:rsidR="001449CF" w:rsidRPr="001449CF" w:rsidRDefault="001449CF" w:rsidP="001449CF">
      <w:pPr>
        <w:numPr>
          <w:ilvl w:val="1"/>
          <w:numId w:val="50"/>
        </w:numPr>
        <w:rPr>
          <w:rFonts w:ascii="Arial" w:hAnsi="Arial" w:cs="Arial"/>
          <w:bCs/>
          <w:sz w:val="24"/>
          <w:szCs w:val="24"/>
        </w:rPr>
      </w:pPr>
      <w:r w:rsidRPr="001449CF">
        <w:rPr>
          <w:rFonts w:ascii="Arial" w:hAnsi="Arial" w:cs="Arial"/>
          <w:bCs/>
          <w:sz w:val="24"/>
          <w:szCs w:val="24"/>
        </w:rPr>
        <w:t>Celebrate and preserve the rich heritage of African and Caribbean cultures.</w:t>
      </w:r>
    </w:p>
    <w:p w14:paraId="7FAB09B6" w14:textId="77777777" w:rsidR="001449CF" w:rsidRPr="001449CF" w:rsidRDefault="001449CF" w:rsidP="001449CF">
      <w:pPr>
        <w:numPr>
          <w:ilvl w:val="1"/>
          <w:numId w:val="50"/>
        </w:numPr>
        <w:rPr>
          <w:rFonts w:ascii="Arial" w:hAnsi="Arial" w:cs="Arial"/>
          <w:bCs/>
          <w:sz w:val="24"/>
          <w:szCs w:val="24"/>
        </w:rPr>
      </w:pPr>
      <w:r w:rsidRPr="001449CF">
        <w:rPr>
          <w:rFonts w:ascii="Arial" w:hAnsi="Arial" w:cs="Arial"/>
          <w:bCs/>
          <w:sz w:val="24"/>
          <w:szCs w:val="24"/>
        </w:rPr>
        <w:t>Address racial inequalities by prioritising access and inclusion for marginalised individuals.</w:t>
      </w:r>
    </w:p>
    <w:p w14:paraId="5FA083FA" w14:textId="77777777" w:rsidR="001449CF" w:rsidRPr="001449CF" w:rsidRDefault="001449CF" w:rsidP="001449CF">
      <w:pPr>
        <w:numPr>
          <w:ilvl w:val="0"/>
          <w:numId w:val="50"/>
        </w:numPr>
        <w:rPr>
          <w:rFonts w:ascii="Arial" w:hAnsi="Arial" w:cs="Arial"/>
          <w:bCs/>
          <w:sz w:val="24"/>
          <w:szCs w:val="24"/>
        </w:rPr>
      </w:pPr>
      <w:r w:rsidRPr="001449CF">
        <w:rPr>
          <w:rFonts w:ascii="Arial" w:hAnsi="Arial" w:cs="Arial"/>
          <w:bCs/>
          <w:sz w:val="24"/>
          <w:szCs w:val="24"/>
        </w:rPr>
        <w:lastRenderedPageBreak/>
        <w:t>Positive Action</w:t>
      </w:r>
      <w:r w:rsidRPr="001449CF">
        <w:rPr>
          <w:rFonts w:ascii="Arial" w:hAnsi="Arial" w:cs="Arial"/>
          <w:bCs/>
          <w:sz w:val="24"/>
          <w:szCs w:val="24"/>
        </w:rPr>
        <w:br/>
        <w:t>We are committed to taking proactive steps to:</w:t>
      </w:r>
    </w:p>
    <w:p w14:paraId="2BF3E736" w14:textId="77777777" w:rsidR="001449CF" w:rsidRPr="001449CF" w:rsidRDefault="001449CF" w:rsidP="001449CF">
      <w:pPr>
        <w:numPr>
          <w:ilvl w:val="1"/>
          <w:numId w:val="50"/>
        </w:numPr>
        <w:rPr>
          <w:rFonts w:ascii="Arial" w:hAnsi="Arial" w:cs="Arial"/>
          <w:bCs/>
          <w:sz w:val="24"/>
          <w:szCs w:val="24"/>
        </w:rPr>
      </w:pPr>
      <w:r w:rsidRPr="001449CF">
        <w:rPr>
          <w:rFonts w:ascii="Arial" w:hAnsi="Arial" w:cs="Arial"/>
          <w:bCs/>
          <w:sz w:val="24"/>
          <w:szCs w:val="24"/>
        </w:rPr>
        <w:t>Redress historical and systemic inequalities.</w:t>
      </w:r>
    </w:p>
    <w:p w14:paraId="46F9D0D8" w14:textId="77777777" w:rsidR="001449CF" w:rsidRPr="001449CF" w:rsidRDefault="001449CF" w:rsidP="001449CF">
      <w:pPr>
        <w:numPr>
          <w:ilvl w:val="1"/>
          <w:numId w:val="50"/>
        </w:numPr>
        <w:rPr>
          <w:rFonts w:ascii="Arial" w:hAnsi="Arial" w:cs="Arial"/>
          <w:bCs/>
          <w:sz w:val="24"/>
          <w:szCs w:val="24"/>
        </w:rPr>
      </w:pPr>
      <w:r w:rsidRPr="001449CF">
        <w:rPr>
          <w:rFonts w:ascii="Arial" w:hAnsi="Arial" w:cs="Arial"/>
          <w:bCs/>
          <w:sz w:val="24"/>
          <w:szCs w:val="24"/>
        </w:rPr>
        <w:t>Create pathways for underrepresented groups to access resources, services, and opportunities at the African Caribbean Centre.</w:t>
      </w:r>
    </w:p>
    <w:p w14:paraId="78CDBA38" w14:textId="77777777" w:rsidR="001449CF" w:rsidRPr="001449CF" w:rsidRDefault="001449CF" w:rsidP="001449CF">
      <w:pPr>
        <w:numPr>
          <w:ilvl w:val="1"/>
          <w:numId w:val="50"/>
        </w:numPr>
        <w:rPr>
          <w:rFonts w:ascii="Arial" w:hAnsi="Arial" w:cs="Arial"/>
          <w:bCs/>
          <w:sz w:val="24"/>
          <w:szCs w:val="24"/>
        </w:rPr>
      </w:pPr>
      <w:r w:rsidRPr="001449CF">
        <w:rPr>
          <w:rFonts w:ascii="Arial" w:hAnsi="Arial" w:cs="Arial"/>
          <w:bCs/>
          <w:sz w:val="24"/>
          <w:szCs w:val="24"/>
        </w:rPr>
        <w:t>Provide mentorship, training, and development programmes tailored to the needs of marginalised communities.</w:t>
      </w:r>
    </w:p>
    <w:p w14:paraId="076DE8B0" w14:textId="77777777" w:rsidR="001449CF" w:rsidRPr="001449CF" w:rsidRDefault="001449CF" w:rsidP="001449CF">
      <w:pPr>
        <w:numPr>
          <w:ilvl w:val="0"/>
          <w:numId w:val="50"/>
        </w:numPr>
        <w:rPr>
          <w:rFonts w:ascii="Arial" w:hAnsi="Arial" w:cs="Arial"/>
          <w:bCs/>
          <w:sz w:val="24"/>
          <w:szCs w:val="24"/>
        </w:rPr>
      </w:pPr>
      <w:r w:rsidRPr="001449CF">
        <w:rPr>
          <w:rFonts w:ascii="Arial" w:hAnsi="Arial" w:cs="Arial"/>
          <w:bCs/>
          <w:sz w:val="24"/>
          <w:szCs w:val="24"/>
        </w:rPr>
        <w:t>Inclusive Practices</w:t>
      </w:r>
      <w:r w:rsidRPr="001449CF">
        <w:rPr>
          <w:rFonts w:ascii="Arial" w:hAnsi="Arial" w:cs="Arial"/>
          <w:bCs/>
          <w:sz w:val="24"/>
          <w:szCs w:val="24"/>
        </w:rPr>
        <w:br/>
        <w:t>The African Caribbean Centre will be a space where everyone is welcome. We will:</w:t>
      </w:r>
    </w:p>
    <w:p w14:paraId="1E84629C" w14:textId="77777777" w:rsidR="001449CF" w:rsidRPr="001449CF" w:rsidRDefault="001449CF" w:rsidP="001449CF">
      <w:pPr>
        <w:numPr>
          <w:ilvl w:val="1"/>
          <w:numId w:val="50"/>
        </w:numPr>
        <w:rPr>
          <w:rFonts w:ascii="Arial" w:hAnsi="Arial" w:cs="Arial"/>
          <w:bCs/>
          <w:sz w:val="24"/>
          <w:szCs w:val="24"/>
        </w:rPr>
      </w:pPr>
      <w:r w:rsidRPr="001449CF">
        <w:rPr>
          <w:rFonts w:ascii="Arial" w:hAnsi="Arial" w:cs="Arial"/>
          <w:bCs/>
          <w:sz w:val="24"/>
          <w:szCs w:val="24"/>
        </w:rPr>
        <w:t>Foster an inclusive and accessible environment.</w:t>
      </w:r>
    </w:p>
    <w:p w14:paraId="57C7B6C3" w14:textId="77777777" w:rsidR="001449CF" w:rsidRPr="001449CF" w:rsidRDefault="001449CF" w:rsidP="001449CF">
      <w:pPr>
        <w:numPr>
          <w:ilvl w:val="1"/>
          <w:numId w:val="50"/>
        </w:numPr>
        <w:rPr>
          <w:rFonts w:ascii="Arial" w:hAnsi="Arial" w:cs="Arial"/>
          <w:bCs/>
          <w:sz w:val="24"/>
          <w:szCs w:val="24"/>
        </w:rPr>
      </w:pPr>
      <w:r w:rsidRPr="001449CF">
        <w:rPr>
          <w:rFonts w:ascii="Arial" w:hAnsi="Arial" w:cs="Arial"/>
          <w:bCs/>
          <w:sz w:val="24"/>
          <w:szCs w:val="24"/>
        </w:rPr>
        <w:t>Ensure our services, programmes, and events reflect the diversity of our community.</w:t>
      </w:r>
    </w:p>
    <w:p w14:paraId="23BB4A9B" w14:textId="77777777" w:rsidR="001449CF" w:rsidRPr="001449CF" w:rsidRDefault="001449CF" w:rsidP="001449CF">
      <w:pPr>
        <w:numPr>
          <w:ilvl w:val="1"/>
          <w:numId w:val="50"/>
        </w:numPr>
        <w:rPr>
          <w:rFonts w:ascii="Arial" w:hAnsi="Arial" w:cs="Arial"/>
          <w:bCs/>
          <w:sz w:val="24"/>
          <w:szCs w:val="24"/>
        </w:rPr>
      </w:pPr>
      <w:r w:rsidRPr="001449CF">
        <w:rPr>
          <w:rFonts w:ascii="Arial" w:hAnsi="Arial" w:cs="Arial"/>
          <w:bCs/>
          <w:sz w:val="24"/>
          <w:szCs w:val="24"/>
        </w:rPr>
        <w:t>Regularly review our practices to ensure they meet the highest standards of equity and inclusion.</w:t>
      </w:r>
    </w:p>
    <w:p w14:paraId="6329E822" w14:textId="77777777" w:rsidR="001449CF" w:rsidRPr="001449CF" w:rsidRDefault="001449CF" w:rsidP="001449CF">
      <w:pPr>
        <w:numPr>
          <w:ilvl w:val="0"/>
          <w:numId w:val="50"/>
        </w:numPr>
        <w:rPr>
          <w:rFonts w:ascii="Arial" w:hAnsi="Arial" w:cs="Arial"/>
          <w:bCs/>
          <w:sz w:val="24"/>
          <w:szCs w:val="24"/>
        </w:rPr>
      </w:pPr>
      <w:r w:rsidRPr="001449CF">
        <w:rPr>
          <w:rFonts w:ascii="Arial" w:hAnsi="Arial" w:cs="Arial"/>
          <w:bCs/>
          <w:sz w:val="24"/>
          <w:szCs w:val="24"/>
        </w:rPr>
        <w:t>Accountability and Transparency</w:t>
      </w:r>
    </w:p>
    <w:p w14:paraId="59BB59A9" w14:textId="77777777" w:rsidR="001449CF" w:rsidRPr="001449CF" w:rsidRDefault="001449CF" w:rsidP="001449CF">
      <w:pPr>
        <w:numPr>
          <w:ilvl w:val="1"/>
          <w:numId w:val="50"/>
        </w:numPr>
        <w:rPr>
          <w:rFonts w:ascii="Arial" w:hAnsi="Arial" w:cs="Arial"/>
          <w:bCs/>
          <w:sz w:val="24"/>
          <w:szCs w:val="24"/>
        </w:rPr>
      </w:pPr>
      <w:r w:rsidRPr="001449CF">
        <w:rPr>
          <w:rFonts w:ascii="Arial" w:hAnsi="Arial" w:cs="Arial"/>
          <w:bCs/>
          <w:sz w:val="24"/>
          <w:szCs w:val="24"/>
        </w:rPr>
        <w:t>We will monitor and evaluate our progress in promoting equal opportunities.</w:t>
      </w:r>
    </w:p>
    <w:p w14:paraId="036B8529" w14:textId="77777777" w:rsidR="001449CF" w:rsidRPr="001449CF" w:rsidRDefault="001449CF" w:rsidP="001449CF">
      <w:pPr>
        <w:numPr>
          <w:ilvl w:val="1"/>
          <w:numId w:val="50"/>
        </w:numPr>
        <w:rPr>
          <w:rFonts w:ascii="Arial" w:hAnsi="Arial" w:cs="Arial"/>
          <w:bCs/>
          <w:sz w:val="24"/>
          <w:szCs w:val="24"/>
        </w:rPr>
      </w:pPr>
      <w:r w:rsidRPr="001449CF">
        <w:rPr>
          <w:rFonts w:ascii="Arial" w:hAnsi="Arial" w:cs="Arial"/>
          <w:bCs/>
          <w:sz w:val="24"/>
          <w:szCs w:val="24"/>
        </w:rPr>
        <w:t>Regular feedback from staff, users, and stakeholders will inform our continuous improvement.</w:t>
      </w:r>
    </w:p>
    <w:p w14:paraId="4EE0246D" w14:textId="77777777" w:rsidR="001449CF" w:rsidRPr="001449CF" w:rsidRDefault="001449CF" w:rsidP="001449CF">
      <w:pPr>
        <w:numPr>
          <w:ilvl w:val="1"/>
          <w:numId w:val="50"/>
        </w:numPr>
        <w:rPr>
          <w:rFonts w:ascii="Arial" w:hAnsi="Arial" w:cs="Arial"/>
          <w:bCs/>
          <w:sz w:val="24"/>
          <w:szCs w:val="24"/>
        </w:rPr>
      </w:pPr>
      <w:r w:rsidRPr="001449CF">
        <w:rPr>
          <w:rFonts w:ascii="Arial" w:hAnsi="Arial" w:cs="Arial"/>
          <w:bCs/>
          <w:sz w:val="24"/>
          <w:szCs w:val="24"/>
        </w:rPr>
        <w:t>A clear process for raising and addressing concerns will be in place to ensure fairness and responsiveness.</w:t>
      </w:r>
    </w:p>
    <w:p w14:paraId="07E23BB9" w14:textId="77777777" w:rsidR="001449CF" w:rsidRPr="001449CF" w:rsidRDefault="001449CF" w:rsidP="001449CF">
      <w:pPr>
        <w:rPr>
          <w:rFonts w:ascii="Arial" w:hAnsi="Arial" w:cs="Arial"/>
          <w:b/>
          <w:sz w:val="24"/>
          <w:szCs w:val="24"/>
        </w:rPr>
      </w:pPr>
      <w:r w:rsidRPr="001449CF">
        <w:rPr>
          <w:rFonts w:ascii="Arial" w:hAnsi="Arial" w:cs="Arial"/>
          <w:b/>
          <w:sz w:val="24"/>
          <w:szCs w:val="24"/>
        </w:rPr>
        <w:t>Implementation</w:t>
      </w:r>
    </w:p>
    <w:p w14:paraId="0D19DEAF" w14:textId="77777777" w:rsidR="001449CF" w:rsidRPr="001449CF" w:rsidRDefault="001449CF" w:rsidP="001449CF">
      <w:pPr>
        <w:numPr>
          <w:ilvl w:val="0"/>
          <w:numId w:val="51"/>
        </w:numPr>
        <w:rPr>
          <w:rFonts w:ascii="Arial" w:hAnsi="Arial" w:cs="Arial"/>
          <w:bCs/>
          <w:sz w:val="24"/>
          <w:szCs w:val="24"/>
        </w:rPr>
      </w:pPr>
      <w:r w:rsidRPr="001449CF">
        <w:rPr>
          <w:rFonts w:ascii="Arial" w:hAnsi="Arial" w:cs="Arial"/>
          <w:bCs/>
          <w:sz w:val="24"/>
          <w:szCs w:val="24"/>
        </w:rPr>
        <w:t>Recruitment and Staffing: We will adopt fair and transparent hiring practices, ensuring representation from diverse backgrounds while prioritising roles for individuals from Black and marginalised communities.</w:t>
      </w:r>
    </w:p>
    <w:p w14:paraId="34809513" w14:textId="77777777" w:rsidR="001449CF" w:rsidRPr="001449CF" w:rsidRDefault="001449CF" w:rsidP="001449CF">
      <w:pPr>
        <w:numPr>
          <w:ilvl w:val="0"/>
          <w:numId w:val="51"/>
        </w:numPr>
        <w:rPr>
          <w:rFonts w:ascii="Arial" w:hAnsi="Arial" w:cs="Arial"/>
          <w:bCs/>
          <w:sz w:val="24"/>
          <w:szCs w:val="24"/>
        </w:rPr>
      </w:pPr>
      <w:r w:rsidRPr="001449CF">
        <w:rPr>
          <w:rFonts w:ascii="Arial" w:hAnsi="Arial" w:cs="Arial"/>
          <w:bCs/>
          <w:sz w:val="24"/>
          <w:szCs w:val="24"/>
        </w:rPr>
        <w:t>Training and Development: All staff, volunteers, and partners will receive training on equality, diversity, and anti-discrimination to uphold the principles of this policy.</w:t>
      </w:r>
    </w:p>
    <w:p w14:paraId="43E3C7E7" w14:textId="77777777" w:rsidR="001449CF" w:rsidRPr="001449CF" w:rsidRDefault="001449CF" w:rsidP="001449CF">
      <w:pPr>
        <w:numPr>
          <w:ilvl w:val="0"/>
          <w:numId w:val="51"/>
        </w:numPr>
        <w:rPr>
          <w:rFonts w:ascii="Arial" w:hAnsi="Arial" w:cs="Arial"/>
          <w:bCs/>
          <w:sz w:val="24"/>
          <w:szCs w:val="24"/>
        </w:rPr>
      </w:pPr>
      <w:r w:rsidRPr="001449CF">
        <w:rPr>
          <w:rFonts w:ascii="Arial" w:hAnsi="Arial" w:cs="Arial"/>
          <w:bCs/>
          <w:sz w:val="24"/>
          <w:szCs w:val="24"/>
        </w:rPr>
        <w:t>Community Engagement: We will actively engage with the local community, creating partnerships and collaborations that reflect our commitment to equal opportunities.</w:t>
      </w:r>
    </w:p>
    <w:p w14:paraId="1478C622" w14:textId="77777777" w:rsidR="001449CF" w:rsidRPr="001449CF" w:rsidRDefault="001449CF" w:rsidP="001449CF">
      <w:pPr>
        <w:numPr>
          <w:ilvl w:val="0"/>
          <w:numId w:val="51"/>
        </w:numPr>
        <w:rPr>
          <w:rFonts w:ascii="Arial" w:hAnsi="Arial" w:cs="Arial"/>
          <w:bCs/>
          <w:sz w:val="24"/>
          <w:szCs w:val="24"/>
        </w:rPr>
      </w:pPr>
      <w:r w:rsidRPr="001449CF">
        <w:rPr>
          <w:rFonts w:ascii="Arial" w:hAnsi="Arial" w:cs="Arial"/>
          <w:bCs/>
          <w:sz w:val="24"/>
          <w:szCs w:val="24"/>
        </w:rPr>
        <w:lastRenderedPageBreak/>
        <w:t>Facilities and Accessibility: The African Caribbean Centre will be maintained as a safe, inclusive, and accessible space for all users.</w:t>
      </w:r>
    </w:p>
    <w:p w14:paraId="7855B853" w14:textId="77777777" w:rsidR="001449CF" w:rsidRPr="001449CF" w:rsidRDefault="001449CF" w:rsidP="001449CF">
      <w:pPr>
        <w:rPr>
          <w:rFonts w:ascii="Arial" w:hAnsi="Arial" w:cs="Arial"/>
          <w:bCs/>
          <w:sz w:val="24"/>
          <w:szCs w:val="24"/>
        </w:rPr>
      </w:pPr>
      <w:r w:rsidRPr="001449CF">
        <w:rPr>
          <w:rFonts w:ascii="Arial" w:hAnsi="Arial" w:cs="Arial"/>
          <w:bCs/>
          <w:sz w:val="24"/>
          <w:szCs w:val="24"/>
        </w:rPr>
        <w:t>Reporting and Monitoring</w:t>
      </w:r>
    </w:p>
    <w:p w14:paraId="0B8D4E47" w14:textId="77777777" w:rsidR="001449CF" w:rsidRPr="001449CF" w:rsidRDefault="001449CF" w:rsidP="001449CF">
      <w:pPr>
        <w:numPr>
          <w:ilvl w:val="0"/>
          <w:numId w:val="52"/>
        </w:numPr>
        <w:rPr>
          <w:rFonts w:ascii="Arial" w:hAnsi="Arial" w:cs="Arial"/>
          <w:bCs/>
          <w:sz w:val="24"/>
          <w:szCs w:val="24"/>
        </w:rPr>
      </w:pPr>
      <w:r w:rsidRPr="001449CF">
        <w:rPr>
          <w:rFonts w:ascii="Arial" w:hAnsi="Arial" w:cs="Arial"/>
          <w:bCs/>
          <w:sz w:val="24"/>
          <w:szCs w:val="24"/>
        </w:rPr>
        <w:t>An Equal Opportunities Officer will oversee the implementation and enforcement of this policy.</w:t>
      </w:r>
    </w:p>
    <w:p w14:paraId="4700B2AA" w14:textId="77777777" w:rsidR="001449CF" w:rsidRPr="001449CF" w:rsidRDefault="001449CF" w:rsidP="001449CF">
      <w:pPr>
        <w:numPr>
          <w:ilvl w:val="0"/>
          <w:numId w:val="52"/>
        </w:numPr>
        <w:rPr>
          <w:rFonts w:ascii="Arial" w:hAnsi="Arial" w:cs="Arial"/>
          <w:bCs/>
          <w:sz w:val="24"/>
          <w:szCs w:val="24"/>
        </w:rPr>
      </w:pPr>
      <w:r w:rsidRPr="001449CF">
        <w:rPr>
          <w:rFonts w:ascii="Arial" w:hAnsi="Arial" w:cs="Arial"/>
          <w:bCs/>
          <w:sz w:val="24"/>
          <w:szCs w:val="24"/>
        </w:rPr>
        <w:t>Regular reports on our progress will be shared with stakeholders.</w:t>
      </w:r>
    </w:p>
    <w:p w14:paraId="00D2F86E" w14:textId="77777777" w:rsidR="001449CF" w:rsidRPr="001449CF" w:rsidRDefault="001449CF" w:rsidP="001449CF">
      <w:pPr>
        <w:numPr>
          <w:ilvl w:val="0"/>
          <w:numId w:val="52"/>
        </w:numPr>
        <w:rPr>
          <w:rFonts w:ascii="Arial" w:hAnsi="Arial" w:cs="Arial"/>
          <w:bCs/>
          <w:sz w:val="24"/>
          <w:szCs w:val="24"/>
        </w:rPr>
      </w:pPr>
      <w:r w:rsidRPr="001449CF">
        <w:rPr>
          <w:rFonts w:ascii="Arial" w:hAnsi="Arial" w:cs="Arial"/>
          <w:bCs/>
          <w:sz w:val="24"/>
          <w:szCs w:val="24"/>
        </w:rPr>
        <w:t>We will invite feedback and suggestions to continually refine and strengthen our approach.</w:t>
      </w:r>
    </w:p>
    <w:p w14:paraId="3891512E" w14:textId="77777777" w:rsidR="001449CF" w:rsidRPr="001449CF" w:rsidRDefault="001449CF" w:rsidP="001449CF">
      <w:pPr>
        <w:rPr>
          <w:rFonts w:ascii="Arial" w:hAnsi="Arial" w:cs="Arial"/>
          <w:b/>
          <w:sz w:val="24"/>
          <w:szCs w:val="24"/>
        </w:rPr>
      </w:pPr>
      <w:r w:rsidRPr="001449CF">
        <w:rPr>
          <w:rFonts w:ascii="Arial" w:hAnsi="Arial" w:cs="Arial"/>
          <w:b/>
          <w:sz w:val="24"/>
          <w:szCs w:val="24"/>
        </w:rPr>
        <w:t>Breach of Policy</w:t>
      </w:r>
    </w:p>
    <w:p w14:paraId="39E4148D" w14:textId="77777777" w:rsidR="001449CF" w:rsidRPr="001449CF" w:rsidRDefault="001449CF" w:rsidP="001449CF">
      <w:pPr>
        <w:rPr>
          <w:rFonts w:ascii="Arial" w:hAnsi="Arial" w:cs="Arial"/>
          <w:bCs/>
          <w:sz w:val="24"/>
          <w:szCs w:val="24"/>
        </w:rPr>
      </w:pPr>
      <w:r w:rsidRPr="001449CF">
        <w:rPr>
          <w:rFonts w:ascii="Arial" w:hAnsi="Arial" w:cs="Arial"/>
          <w:bCs/>
          <w:sz w:val="24"/>
          <w:szCs w:val="24"/>
        </w:rPr>
        <w:t>AHA has a zero-tolerance approach to discrimination and harassment. Any breach of this policy will be treated seriously and may result in disciplinary action, including termination of employment or partnership agreements.</w:t>
      </w:r>
    </w:p>
    <w:p w14:paraId="7DF5250F" w14:textId="77777777" w:rsidR="001449CF" w:rsidRPr="001449CF" w:rsidRDefault="001449CF" w:rsidP="001449CF">
      <w:pPr>
        <w:rPr>
          <w:rFonts w:ascii="Arial" w:hAnsi="Arial" w:cs="Arial"/>
          <w:b/>
          <w:sz w:val="24"/>
          <w:szCs w:val="24"/>
        </w:rPr>
      </w:pPr>
      <w:r w:rsidRPr="001449CF">
        <w:rPr>
          <w:rFonts w:ascii="Arial" w:hAnsi="Arial" w:cs="Arial"/>
          <w:b/>
          <w:sz w:val="24"/>
          <w:szCs w:val="24"/>
        </w:rPr>
        <w:t>Review</w:t>
      </w:r>
    </w:p>
    <w:p w14:paraId="409BA75C" w14:textId="77777777" w:rsidR="001449CF" w:rsidRPr="001449CF" w:rsidRDefault="001449CF" w:rsidP="001449CF">
      <w:pPr>
        <w:rPr>
          <w:rFonts w:ascii="Arial" w:hAnsi="Arial" w:cs="Arial"/>
          <w:bCs/>
          <w:sz w:val="24"/>
          <w:szCs w:val="24"/>
        </w:rPr>
      </w:pPr>
      <w:r w:rsidRPr="001449CF">
        <w:rPr>
          <w:rFonts w:ascii="Arial" w:hAnsi="Arial" w:cs="Arial"/>
          <w:bCs/>
          <w:sz w:val="24"/>
          <w:szCs w:val="24"/>
        </w:rPr>
        <w:t>This policy will be reviewed annually to ensure it remains relevant and effective in achieving our goals. Feedback from our community, staff, and stakeholders will inform any updates.</w:t>
      </w:r>
    </w:p>
    <w:p w14:paraId="2E705874" w14:textId="77777777" w:rsidR="001449CF" w:rsidRPr="001449CF" w:rsidRDefault="001449CF" w:rsidP="001449CF">
      <w:pPr>
        <w:rPr>
          <w:rFonts w:ascii="Arial" w:hAnsi="Arial" w:cs="Arial"/>
          <w:b/>
          <w:sz w:val="24"/>
          <w:szCs w:val="24"/>
        </w:rPr>
      </w:pPr>
      <w:r w:rsidRPr="001449CF">
        <w:rPr>
          <w:rFonts w:ascii="Arial" w:hAnsi="Arial" w:cs="Arial"/>
          <w:b/>
          <w:sz w:val="24"/>
          <w:szCs w:val="24"/>
        </w:rPr>
        <w:t>Conclusion</w:t>
      </w:r>
    </w:p>
    <w:p w14:paraId="26FE206D" w14:textId="77777777" w:rsidR="001449CF" w:rsidRPr="001449CF" w:rsidRDefault="001449CF" w:rsidP="001449CF">
      <w:pPr>
        <w:rPr>
          <w:rFonts w:ascii="Arial" w:hAnsi="Arial" w:cs="Arial"/>
          <w:bCs/>
          <w:sz w:val="24"/>
          <w:szCs w:val="24"/>
        </w:rPr>
      </w:pPr>
      <w:r w:rsidRPr="001449CF">
        <w:rPr>
          <w:rFonts w:ascii="Arial" w:hAnsi="Arial" w:cs="Arial"/>
          <w:bCs/>
          <w:sz w:val="24"/>
          <w:szCs w:val="24"/>
        </w:rPr>
        <w:t>The African Heritage Alliance is committed to setting the standard for equal opportunities and inclusion. Through the African Caribbean Centre, we aim to create a legacy of empowerment, equity, and cultural celebration for generations to come.</w:t>
      </w:r>
    </w:p>
    <w:p w14:paraId="34E5562D" w14:textId="77777777" w:rsidR="009D2E04" w:rsidRPr="001449CF" w:rsidRDefault="009D2E04" w:rsidP="001449CF">
      <w:pPr>
        <w:rPr>
          <w:rFonts w:ascii="Arial" w:hAnsi="Arial" w:cs="Arial"/>
          <w:bCs/>
          <w:sz w:val="24"/>
          <w:szCs w:val="24"/>
        </w:rPr>
      </w:pPr>
    </w:p>
    <w:sectPr w:rsidR="009D2E04" w:rsidRPr="001449C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A8766" w14:textId="77777777" w:rsidR="0049455F" w:rsidRDefault="0049455F" w:rsidP="00E93B04">
      <w:pPr>
        <w:spacing w:after="0" w:line="240" w:lineRule="auto"/>
      </w:pPr>
      <w:r>
        <w:separator/>
      </w:r>
    </w:p>
  </w:endnote>
  <w:endnote w:type="continuationSeparator" w:id="0">
    <w:p w14:paraId="69604E48" w14:textId="77777777" w:rsidR="0049455F" w:rsidRDefault="0049455F" w:rsidP="00E9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69CE0" w14:textId="77777777" w:rsidR="001449CF" w:rsidRDefault="00144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55634" w14:textId="1F00EFB5" w:rsidR="00E93B04" w:rsidRDefault="008F0322">
    <w:pPr>
      <w:pStyle w:val="Footer"/>
      <w:jc w:val="right"/>
    </w:pPr>
    <w:r>
      <w:t>AHA</w:t>
    </w:r>
    <w:r w:rsidR="00E93B04">
      <w:t xml:space="preserve"> </w:t>
    </w:r>
    <w:r w:rsidR="001449CF">
      <w:t>Equality and Inclusion Poli</w:t>
    </w:r>
    <w:r w:rsidR="00E93B04">
      <w:t xml:space="preserve">cy                                             </w:t>
    </w:r>
    <w:r w:rsidR="00E84E73">
      <w:t>November</w:t>
    </w:r>
    <w:r w:rsidR="00E93B04">
      <w:t xml:space="preserve"> 20</w:t>
    </w:r>
    <w:r w:rsidR="00CA29B4">
      <w:t>24</w:t>
    </w:r>
    <w:r w:rsidR="00E93B04">
      <w:t xml:space="preserve">          </w:t>
    </w:r>
    <w:sdt>
      <w:sdtPr>
        <w:id w:val="-1855260527"/>
        <w:docPartObj>
          <w:docPartGallery w:val="Page Numbers (Bottom of Page)"/>
          <w:docPartUnique/>
        </w:docPartObj>
      </w:sdtPr>
      <w:sdtEndPr>
        <w:rPr>
          <w:noProof/>
        </w:rPr>
      </w:sdtEndPr>
      <w:sdtContent>
        <w:r w:rsidR="00E93B04">
          <w:fldChar w:fldCharType="begin"/>
        </w:r>
        <w:r w:rsidR="00E93B04">
          <w:instrText xml:space="preserve"> PAGE   \* MERGEFORMAT </w:instrText>
        </w:r>
        <w:r w:rsidR="00E93B04">
          <w:fldChar w:fldCharType="separate"/>
        </w:r>
        <w:r w:rsidR="00DB243A">
          <w:rPr>
            <w:noProof/>
          </w:rPr>
          <w:t>2</w:t>
        </w:r>
        <w:r w:rsidR="00E93B04">
          <w:rPr>
            <w:noProof/>
          </w:rPr>
          <w:fldChar w:fldCharType="end"/>
        </w:r>
      </w:sdtContent>
    </w:sdt>
  </w:p>
  <w:p w14:paraId="34E55635" w14:textId="77777777" w:rsidR="00E93B04" w:rsidRDefault="00E93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CBF77" w14:textId="77777777" w:rsidR="001449CF" w:rsidRDefault="00144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1BEF7" w14:textId="77777777" w:rsidR="0049455F" w:rsidRDefault="0049455F" w:rsidP="00E93B04">
      <w:pPr>
        <w:spacing w:after="0" w:line="240" w:lineRule="auto"/>
      </w:pPr>
      <w:r>
        <w:separator/>
      </w:r>
    </w:p>
  </w:footnote>
  <w:footnote w:type="continuationSeparator" w:id="0">
    <w:p w14:paraId="7AD4AC7B" w14:textId="77777777" w:rsidR="0049455F" w:rsidRDefault="0049455F" w:rsidP="00E93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2073E" w14:textId="77777777" w:rsidR="001449CF" w:rsidRDefault="00144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EB3E4" w14:textId="27902447" w:rsidR="005A0446" w:rsidRDefault="005A0446">
    <w:pPr>
      <w:pStyle w:val="Header"/>
    </w:pPr>
    <w:r>
      <w:tab/>
    </w:r>
    <w:r w:rsidR="009D730E">
      <w:rPr>
        <w:noProof/>
      </w:rPr>
      <w:drawing>
        <wp:inline distT="0" distB="0" distL="0" distR="0" wp14:anchorId="5FCC70F6" wp14:editId="18A3CCC7">
          <wp:extent cx="1066949" cy="743054"/>
          <wp:effectExtent l="0" t="0" r="0" b="0"/>
          <wp:docPr id="74330945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09453"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949" cy="7430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4DEF1" w14:textId="77777777" w:rsidR="001449CF" w:rsidRDefault="00144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3DAB"/>
    <w:multiLevelType w:val="multilevel"/>
    <w:tmpl w:val="F460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453AA"/>
    <w:multiLevelType w:val="multilevel"/>
    <w:tmpl w:val="C26A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D7A85"/>
    <w:multiLevelType w:val="multilevel"/>
    <w:tmpl w:val="2C0E6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450A69"/>
    <w:multiLevelType w:val="multilevel"/>
    <w:tmpl w:val="41E0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05422"/>
    <w:multiLevelType w:val="multilevel"/>
    <w:tmpl w:val="D562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475A0"/>
    <w:multiLevelType w:val="multilevel"/>
    <w:tmpl w:val="95CAF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D94057"/>
    <w:multiLevelType w:val="multilevel"/>
    <w:tmpl w:val="3B2A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A3F09"/>
    <w:multiLevelType w:val="multilevel"/>
    <w:tmpl w:val="F8FA2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A1253"/>
    <w:multiLevelType w:val="multilevel"/>
    <w:tmpl w:val="8200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D2B99"/>
    <w:multiLevelType w:val="multilevel"/>
    <w:tmpl w:val="A01C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5B42BF"/>
    <w:multiLevelType w:val="multilevel"/>
    <w:tmpl w:val="C1B6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14EAA"/>
    <w:multiLevelType w:val="multilevel"/>
    <w:tmpl w:val="3BCE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9027F6"/>
    <w:multiLevelType w:val="multilevel"/>
    <w:tmpl w:val="A53E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B5ACA"/>
    <w:multiLevelType w:val="hybridMultilevel"/>
    <w:tmpl w:val="F37684B2"/>
    <w:lvl w:ilvl="0" w:tplc="016014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D33DD0"/>
    <w:multiLevelType w:val="multilevel"/>
    <w:tmpl w:val="34D2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734DE"/>
    <w:multiLevelType w:val="multilevel"/>
    <w:tmpl w:val="C0C0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066B0"/>
    <w:multiLevelType w:val="multilevel"/>
    <w:tmpl w:val="5ACC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942A0"/>
    <w:multiLevelType w:val="multilevel"/>
    <w:tmpl w:val="4AEA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551397"/>
    <w:multiLevelType w:val="multilevel"/>
    <w:tmpl w:val="87541C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C16985"/>
    <w:multiLevelType w:val="multilevel"/>
    <w:tmpl w:val="DE40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3764A"/>
    <w:multiLevelType w:val="multilevel"/>
    <w:tmpl w:val="7754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CC2A31"/>
    <w:multiLevelType w:val="multilevel"/>
    <w:tmpl w:val="A5F0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7752C5"/>
    <w:multiLevelType w:val="multilevel"/>
    <w:tmpl w:val="4630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E168D"/>
    <w:multiLevelType w:val="multilevel"/>
    <w:tmpl w:val="C97C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95685"/>
    <w:multiLevelType w:val="hybridMultilevel"/>
    <w:tmpl w:val="2CAAE6C6"/>
    <w:lvl w:ilvl="0" w:tplc="EC96FDF6">
      <w:start w:val="1"/>
      <w:numFmt w:val="lowerRoman"/>
      <w:lvlText w:val="(%1)"/>
      <w:lvlJc w:val="left"/>
      <w:pPr>
        <w:tabs>
          <w:tab w:val="num" w:pos="720"/>
        </w:tabs>
        <w:ind w:left="720" w:hanging="720"/>
      </w:pPr>
      <w:rPr>
        <w:rFonts w:hint="default"/>
      </w:rPr>
    </w:lvl>
    <w:lvl w:ilvl="1" w:tplc="E3167DE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3963CA"/>
    <w:multiLevelType w:val="multilevel"/>
    <w:tmpl w:val="1C72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93D04"/>
    <w:multiLevelType w:val="multilevel"/>
    <w:tmpl w:val="F884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36319"/>
    <w:multiLevelType w:val="multilevel"/>
    <w:tmpl w:val="00481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590B2F"/>
    <w:multiLevelType w:val="multilevel"/>
    <w:tmpl w:val="71D8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DF4876"/>
    <w:multiLevelType w:val="multilevel"/>
    <w:tmpl w:val="5866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6614F0"/>
    <w:multiLevelType w:val="multilevel"/>
    <w:tmpl w:val="C630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1D46CC"/>
    <w:multiLevelType w:val="multilevel"/>
    <w:tmpl w:val="A5F4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5415D5"/>
    <w:multiLevelType w:val="multilevel"/>
    <w:tmpl w:val="71EAB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7902B5"/>
    <w:multiLevelType w:val="multilevel"/>
    <w:tmpl w:val="ED6E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5E53CB"/>
    <w:multiLevelType w:val="multilevel"/>
    <w:tmpl w:val="A846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FD3442"/>
    <w:multiLevelType w:val="multilevel"/>
    <w:tmpl w:val="17BC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0A0E80"/>
    <w:multiLevelType w:val="multilevel"/>
    <w:tmpl w:val="D158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E37786"/>
    <w:multiLevelType w:val="multilevel"/>
    <w:tmpl w:val="2CAC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54BB"/>
    <w:multiLevelType w:val="multilevel"/>
    <w:tmpl w:val="8EC2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1C34CD"/>
    <w:multiLevelType w:val="multilevel"/>
    <w:tmpl w:val="B39C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417510"/>
    <w:multiLevelType w:val="multilevel"/>
    <w:tmpl w:val="727C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25756C"/>
    <w:multiLevelType w:val="multilevel"/>
    <w:tmpl w:val="F99A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321454"/>
    <w:multiLevelType w:val="multilevel"/>
    <w:tmpl w:val="04186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AD1DAE"/>
    <w:multiLevelType w:val="multilevel"/>
    <w:tmpl w:val="B708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F5661E"/>
    <w:multiLevelType w:val="multilevel"/>
    <w:tmpl w:val="A90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500032"/>
    <w:multiLevelType w:val="hybridMultilevel"/>
    <w:tmpl w:val="7C50AF4A"/>
    <w:lvl w:ilvl="0" w:tplc="0409000F">
      <w:start w:val="1"/>
      <w:numFmt w:val="decimal"/>
      <w:lvlText w:val="%1."/>
      <w:lvlJc w:val="left"/>
      <w:pPr>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54234DA"/>
    <w:multiLevelType w:val="multilevel"/>
    <w:tmpl w:val="BFEC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82197F"/>
    <w:multiLevelType w:val="multilevel"/>
    <w:tmpl w:val="93F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9654ED"/>
    <w:multiLevelType w:val="multilevel"/>
    <w:tmpl w:val="AFAC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08308E"/>
    <w:multiLevelType w:val="multilevel"/>
    <w:tmpl w:val="D550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0256B1"/>
    <w:multiLevelType w:val="multilevel"/>
    <w:tmpl w:val="14D0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A95BB7"/>
    <w:multiLevelType w:val="multilevel"/>
    <w:tmpl w:val="6B9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774176">
    <w:abstractNumId w:val="24"/>
  </w:num>
  <w:num w:numId="2" w16cid:durableId="952401901">
    <w:abstractNumId w:val="13"/>
  </w:num>
  <w:num w:numId="3" w16cid:durableId="1254784411">
    <w:abstractNumId w:val="45"/>
  </w:num>
  <w:num w:numId="4" w16cid:durableId="1579441504">
    <w:abstractNumId w:val="14"/>
  </w:num>
  <w:num w:numId="5" w16cid:durableId="81991817">
    <w:abstractNumId w:val="47"/>
  </w:num>
  <w:num w:numId="6" w16cid:durableId="587662002">
    <w:abstractNumId w:val="2"/>
  </w:num>
  <w:num w:numId="7" w16cid:durableId="355081114">
    <w:abstractNumId w:val="4"/>
  </w:num>
  <w:num w:numId="8" w16cid:durableId="1533836191">
    <w:abstractNumId w:val="8"/>
  </w:num>
  <w:num w:numId="9" w16cid:durableId="469712372">
    <w:abstractNumId w:val="36"/>
  </w:num>
  <w:num w:numId="10" w16cid:durableId="1545828066">
    <w:abstractNumId w:val="20"/>
  </w:num>
  <w:num w:numId="11" w16cid:durableId="1493638666">
    <w:abstractNumId w:val="12"/>
  </w:num>
  <w:num w:numId="12" w16cid:durableId="262962991">
    <w:abstractNumId w:val="10"/>
  </w:num>
  <w:num w:numId="13" w16cid:durableId="1892879614">
    <w:abstractNumId w:val="50"/>
  </w:num>
  <w:num w:numId="14" w16cid:durableId="1434012152">
    <w:abstractNumId w:val="7"/>
  </w:num>
  <w:num w:numId="15" w16cid:durableId="668676745">
    <w:abstractNumId w:val="51"/>
  </w:num>
  <w:num w:numId="16" w16cid:durableId="220218407">
    <w:abstractNumId w:val="1"/>
  </w:num>
  <w:num w:numId="17" w16cid:durableId="966936492">
    <w:abstractNumId w:val="17"/>
  </w:num>
  <w:num w:numId="18" w16cid:durableId="278269000">
    <w:abstractNumId w:val="38"/>
  </w:num>
  <w:num w:numId="19" w16cid:durableId="1316109825">
    <w:abstractNumId w:val="37"/>
  </w:num>
  <w:num w:numId="20" w16cid:durableId="698434857">
    <w:abstractNumId w:val="32"/>
  </w:num>
  <w:num w:numId="21" w16cid:durableId="637496836">
    <w:abstractNumId w:val="42"/>
  </w:num>
  <w:num w:numId="22" w16cid:durableId="1924140794">
    <w:abstractNumId w:val="27"/>
  </w:num>
  <w:num w:numId="23" w16cid:durableId="1159996900">
    <w:abstractNumId w:val="25"/>
  </w:num>
  <w:num w:numId="24" w16cid:durableId="277571294">
    <w:abstractNumId w:val="21"/>
  </w:num>
  <w:num w:numId="25" w16cid:durableId="1379623076">
    <w:abstractNumId w:val="46"/>
  </w:num>
  <w:num w:numId="26" w16cid:durableId="1906187522">
    <w:abstractNumId w:val="15"/>
  </w:num>
  <w:num w:numId="27" w16cid:durableId="716467663">
    <w:abstractNumId w:val="11"/>
  </w:num>
  <w:num w:numId="28" w16cid:durableId="1565068155">
    <w:abstractNumId w:val="48"/>
  </w:num>
  <w:num w:numId="29" w16cid:durableId="1218249215">
    <w:abstractNumId w:val="9"/>
  </w:num>
  <w:num w:numId="30" w16cid:durableId="589659679">
    <w:abstractNumId w:val="22"/>
  </w:num>
  <w:num w:numId="31" w16cid:durableId="103113193">
    <w:abstractNumId w:val="28"/>
  </w:num>
  <w:num w:numId="32" w16cid:durableId="601836861">
    <w:abstractNumId w:val="33"/>
  </w:num>
  <w:num w:numId="33" w16cid:durableId="874972592">
    <w:abstractNumId w:val="31"/>
  </w:num>
  <w:num w:numId="34" w16cid:durableId="595132454">
    <w:abstractNumId w:val="35"/>
  </w:num>
  <w:num w:numId="35" w16cid:durableId="1744644840">
    <w:abstractNumId w:val="40"/>
  </w:num>
  <w:num w:numId="36" w16cid:durableId="1238057410">
    <w:abstractNumId w:val="16"/>
  </w:num>
  <w:num w:numId="37" w16cid:durableId="1932885462">
    <w:abstractNumId w:val="41"/>
  </w:num>
  <w:num w:numId="38" w16cid:durableId="2014985995">
    <w:abstractNumId w:val="26"/>
  </w:num>
  <w:num w:numId="39" w16cid:durableId="336351919">
    <w:abstractNumId w:val="29"/>
  </w:num>
  <w:num w:numId="40" w16cid:durableId="463543330">
    <w:abstractNumId w:val="30"/>
  </w:num>
  <w:num w:numId="41" w16cid:durableId="2051222286">
    <w:abstractNumId w:val="3"/>
  </w:num>
  <w:num w:numId="42" w16cid:durableId="1404907055">
    <w:abstractNumId w:val="39"/>
  </w:num>
  <w:num w:numId="43" w16cid:durableId="340007396">
    <w:abstractNumId w:val="6"/>
  </w:num>
  <w:num w:numId="44" w16cid:durableId="346906022">
    <w:abstractNumId w:val="5"/>
  </w:num>
  <w:num w:numId="45" w16cid:durableId="402411910">
    <w:abstractNumId w:val="43"/>
  </w:num>
  <w:num w:numId="46" w16cid:durableId="625893995">
    <w:abstractNumId w:val="19"/>
  </w:num>
  <w:num w:numId="47" w16cid:durableId="78408172">
    <w:abstractNumId w:val="44"/>
  </w:num>
  <w:num w:numId="48" w16cid:durableId="1308588582">
    <w:abstractNumId w:val="23"/>
  </w:num>
  <w:num w:numId="49" w16cid:durableId="1303850848">
    <w:abstractNumId w:val="49"/>
  </w:num>
  <w:num w:numId="50" w16cid:durableId="985625680">
    <w:abstractNumId w:val="18"/>
  </w:num>
  <w:num w:numId="51" w16cid:durableId="1507283406">
    <w:abstractNumId w:val="34"/>
  </w:num>
  <w:num w:numId="52" w16cid:durableId="139377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CD"/>
    <w:rsid w:val="00007305"/>
    <w:rsid w:val="00091310"/>
    <w:rsid w:val="000952CA"/>
    <w:rsid w:val="000A2BBA"/>
    <w:rsid w:val="000F47C5"/>
    <w:rsid w:val="001019A7"/>
    <w:rsid w:val="001449CF"/>
    <w:rsid w:val="00163BA4"/>
    <w:rsid w:val="001B1F40"/>
    <w:rsid w:val="002024AD"/>
    <w:rsid w:val="002410F1"/>
    <w:rsid w:val="00296903"/>
    <w:rsid w:val="003357AA"/>
    <w:rsid w:val="00356A1C"/>
    <w:rsid w:val="0038127C"/>
    <w:rsid w:val="0038177E"/>
    <w:rsid w:val="003A0948"/>
    <w:rsid w:val="003A547A"/>
    <w:rsid w:val="003C6A41"/>
    <w:rsid w:val="003E1E2C"/>
    <w:rsid w:val="004119F0"/>
    <w:rsid w:val="00417333"/>
    <w:rsid w:val="004465B1"/>
    <w:rsid w:val="004571CB"/>
    <w:rsid w:val="00486428"/>
    <w:rsid w:val="0049455F"/>
    <w:rsid w:val="004975F7"/>
    <w:rsid w:val="00511B62"/>
    <w:rsid w:val="00557C87"/>
    <w:rsid w:val="00570A9A"/>
    <w:rsid w:val="005A0446"/>
    <w:rsid w:val="005C1C6E"/>
    <w:rsid w:val="005D11FA"/>
    <w:rsid w:val="005F088B"/>
    <w:rsid w:val="005F182E"/>
    <w:rsid w:val="00643DB2"/>
    <w:rsid w:val="006559FA"/>
    <w:rsid w:val="006A0E99"/>
    <w:rsid w:val="0071307D"/>
    <w:rsid w:val="00737D58"/>
    <w:rsid w:val="00781F93"/>
    <w:rsid w:val="007B449B"/>
    <w:rsid w:val="007E6329"/>
    <w:rsid w:val="007F5B46"/>
    <w:rsid w:val="00827D75"/>
    <w:rsid w:val="008C2864"/>
    <w:rsid w:val="008F0322"/>
    <w:rsid w:val="0094623F"/>
    <w:rsid w:val="009D2E04"/>
    <w:rsid w:val="009D730E"/>
    <w:rsid w:val="009E4066"/>
    <w:rsid w:val="00A54CB7"/>
    <w:rsid w:val="00A61C47"/>
    <w:rsid w:val="00A77C9D"/>
    <w:rsid w:val="00A956CA"/>
    <w:rsid w:val="00AC2708"/>
    <w:rsid w:val="00B24948"/>
    <w:rsid w:val="00B6636A"/>
    <w:rsid w:val="00B74808"/>
    <w:rsid w:val="00B75E5F"/>
    <w:rsid w:val="00C547A5"/>
    <w:rsid w:val="00C71429"/>
    <w:rsid w:val="00CA29B4"/>
    <w:rsid w:val="00CE685A"/>
    <w:rsid w:val="00CF6EB8"/>
    <w:rsid w:val="00D231CD"/>
    <w:rsid w:val="00D3787C"/>
    <w:rsid w:val="00D743D5"/>
    <w:rsid w:val="00D952A2"/>
    <w:rsid w:val="00D95F89"/>
    <w:rsid w:val="00DB243A"/>
    <w:rsid w:val="00DE7C15"/>
    <w:rsid w:val="00DF412B"/>
    <w:rsid w:val="00E27D82"/>
    <w:rsid w:val="00E461BB"/>
    <w:rsid w:val="00E50799"/>
    <w:rsid w:val="00E84E73"/>
    <w:rsid w:val="00E913B6"/>
    <w:rsid w:val="00E93B04"/>
    <w:rsid w:val="00EA106E"/>
    <w:rsid w:val="00EE520E"/>
    <w:rsid w:val="00EF04B1"/>
    <w:rsid w:val="00F11E34"/>
    <w:rsid w:val="00F45F05"/>
    <w:rsid w:val="00F7156C"/>
    <w:rsid w:val="00FA5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555C6"/>
  <w15:docId w15:val="{310D18CC-DF29-4F19-B636-EF5BE208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2E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73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D730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2E0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17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333"/>
    <w:rPr>
      <w:rFonts w:ascii="Tahoma" w:hAnsi="Tahoma" w:cs="Tahoma"/>
      <w:sz w:val="16"/>
      <w:szCs w:val="16"/>
    </w:rPr>
  </w:style>
  <w:style w:type="paragraph" w:styleId="Header">
    <w:name w:val="header"/>
    <w:basedOn w:val="Normal"/>
    <w:link w:val="HeaderChar"/>
    <w:uiPriority w:val="99"/>
    <w:unhideWhenUsed/>
    <w:rsid w:val="00E93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B04"/>
  </w:style>
  <w:style w:type="paragraph" w:styleId="Footer">
    <w:name w:val="footer"/>
    <w:basedOn w:val="Normal"/>
    <w:link w:val="FooterChar"/>
    <w:uiPriority w:val="99"/>
    <w:unhideWhenUsed/>
    <w:rsid w:val="00E93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B04"/>
  </w:style>
  <w:style w:type="paragraph" w:styleId="NormalWeb">
    <w:name w:val="Normal (Web)"/>
    <w:basedOn w:val="Normal"/>
    <w:uiPriority w:val="99"/>
    <w:semiHidden/>
    <w:unhideWhenUsed/>
    <w:rsid w:val="00EA10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106E"/>
    <w:rPr>
      <w:b/>
      <w:bCs/>
    </w:rPr>
  </w:style>
  <w:style w:type="character" w:styleId="Hyperlink">
    <w:name w:val="Hyperlink"/>
    <w:basedOn w:val="DefaultParagraphFont"/>
    <w:uiPriority w:val="99"/>
    <w:unhideWhenUsed/>
    <w:rsid w:val="00EA106E"/>
    <w:rPr>
      <w:color w:val="0000FF"/>
      <w:u w:val="single"/>
    </w:rPr>
  </w:style>
  <w:style w:type="character" w:styleId="UnresolvedMention">
    <w:name w:val="Unresolved Mention"/>
    <w:basedOn w:val="DefaultParagraphFont"/>
    <w:uiPriority w:val="99"/>
    <w:semiHidden/>
    <w:unhideWhenUsed/>
    <w:rsid w:val="00781F93"/>
    <w:rPr>
      <w:color w:val="605E5C"/>
      <w:shd w:val="clear" w:color="auto" w:fill="E1DFDD"/>
    </w:rPr>
  </w:style>
  <w:style w:type="character" w:customStyle="1" w:styleId="Heading3Char">
    <w:name w:val="Heading 3 Char"/>
    <w:basedOn w:val="DefaultParagraphFont"/>
    <w:link w:val="Heading3"/>
    <w:uiPriority w:val="9"/>
    <w:semiHidden/>
    <w:rsid w:val="009D730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D730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76532">
      <w:bodyDiv w:val="1"/>
      <w:marLeft w:val="0"/>
      <w:marRight w:val="0"/>
      <w:marTop w:val="0"/>
      <w:marBottom w:val="0"/>
      <w:divBdr>
        <w:top w:val="none" w:sz="0" w:space="0" w:color="auto"/>
        <w:left w:val="none" w:sz="0" w:space="0" w:color="auto"/>
        <w:bottom w:val="none" w:sz="0" w:space="0" w:color="auto"/>
        <w:right w:val="none" w:sz="0" w:space="0" w:color="auto"/>
      </w:divBdr>
    </w:div>
    <w:div w:id="246571623">
      <w:bodyDiv w:val="1"/>
      <w:marLeft w:val="0"/>
      <w:marRight w:val="0"/>
      <w:marTop w:val="0"/>
      <w:marBottom w:val="0"/>
      <w:divBdr>
        <w:top w:val="none" w:sz="0" w:space="0" w:color="auto"/>
        <w:left w:val="none" w:sz="0" w:space="0" w:color="auto"/>
        <w:bottom w:val="none" w:sz="0" w:space="0" w:color="auto"/>
        <w:right w:val="none" w:sz="0" w:space="0" w:color="auto"/>
      </w:divBdr>
    </w:div>
    <w:div w:id="296420585">
      <w:bodyDiv w:val="1"/>
      <w:marLeft w:val="0"/>
      <w:marRight w:val="0"/>
      <w:marTop w:val="0"/>
      <w:marBottom w:val="0"/>
      <w:divBdr>
        <w:top w:val="none" w:sz="0" w:space="0" w:color="auto"/>
        <w:left w:val="none" w:sz="0" w:space="0" w:color="auto"/>
        <w:bottom w:val="none" w:sz="0" w:space="0" w:color="auto"/>
        <w:right w:val="none" w:sz="0" w:space="0" w:color="auto"/>
      </w:divBdr>
    </w:div>
    <w:div w:id="320280191">
      <w:bodyDiv w:val="1"/>
      <w:marLeft w:val="0"/>
      <w:marRight w:val="0"/>
      <w:marTop w:val="0"/>
      <w:marBottom w:val="0"/>
      <w:divBdr>
        <w:top w:val="none" w:sz="0" w:space="0" w:color="auto"/>
        <w:left w:val="none" w:sz="0" w:space="0" w:color="auto"/>
        <w:bottom w:val="none" w:sz="0" w:space="0" w:color="auto"/>
        <w:right w:val="none" w:sz="0" w:space="0" w:color="auto"/>
      </w:divBdr>
    </w:div>
    <w:div w:id="420762849">
      <w:bodyDiv w:val="1"/>
      <w:marLeft w:val="0"/>
      <w:marRight w:val="0"/>
      <w:marTop w:val="0"/>
      <w:marBottom w:val="0"/>
      <w:divBdr>
        <w:top w:val="none" w:sz="0" w:space="0" w:color="auto"/>
        <w:left w:val="none" w:sz="0" w:space="0" w:color="auto"/>
        <w:bottom w:val="none" w:sz="0" w:space="0" w:color="auto"/>
        <w:right w:val="none" w:sz="0" w:space="0" w:color="auto"/>
      </w:divBdr>
    </w:div>
    <w:div w:id="556554511">
      <w:bodyDiv w:val="1"/>
      <w:marLeft w:val="0"/>
      <w:marRight w:val="0"/>
      <w:marTop w:val="0"/>
      <w:marBottom w:val="0"/>
      <w:divBdr>
        <w:top w:val="none" w:sz="0" w:space="0" w:color="auto"/>
        <w:left w:val="none" w:sz="0" w:space="0" w:color="auto"/>
        <w:bottom w:val="none" w:sz="0" w:space="0" w:color="auto"/>
        <w:right w:val="none" w:sz="0" w:space="0" w:color="auto"/>
      </w:divBdr>
    </w:div>
    <w:div w:id="710304375">
      <w:bodyDiv w:val="1"/>
      <w:marLeft w:val="0"/>
      <w:marRight w:val="0"/>
      <w:marTop w:val="0"/>
      <w:marBottom w:val="0"/>
      <w:divBdr>
        <w:top w:val="none" w:sz="0" w:space="0" w:color="auto"/>
        <w:left w:val="none" w:sz="0" w:space="0" w:color="auto"/>
        <w:bottom w:val="none" w:sz="0" w:space="0" w:color="auto"/>
        <w:right w:val="none" w:sz="0" w:space="0" w:color="auto"/>
      </w:divBdr>
    </w:div>
    <w:div w:id="897743585">
      <w:bodyDiv w:val="1"/>
      <w:marLeft w:val="0"/>
      <w:marRight w:val="0"/>
      <w:marTop w:val="0"/>
      <w:marBottom w:val="0"/>
      <w:divBdr>
        <w:top w:val="none" w:sz="0" w:space="0" w:color="auto"/>
        <w:left w:val="none" w:sz="0" w:space="0" w:color="auto"/>
        <w:bottom w:val="none" w:sz="0" w:space="0" w:color="auto"/>
        <w:right w:val="none" w:sz="0" w:space="0" w:color="auto"/>
      </w:divBdr>
    </w:div>
    <w:div w:id="997227723">
      <w:bodyDiv w:val="1"/>
      <w:marLeft w:val="0"/>
      <w:marRight w:val="0"/>
      <w:marTop w:val="0"/>
      <w:marBottom w:val="0"/>
      <w:divBdr>
        <w:top w:val="none" w:sz="0" w:space="0" w:color="auto"/>
        <w:left w:val="none" w:sz="0" w:space="0" w:color="auto"/>
        <w:bottom w:val="none" w:sz="0" w:space="0" w:color="auto"/>
        <w:right w:val="none" w:sz="0" w:space="0" w:color="auto"/>
      </w:divBdr>
    </w:div>
    <w:div w:id="1255898446">
      <w:bodyDiv w:val="1"/>
      <w:marLeft w:val="0"/>
      <w:marRight w:val="0"/>
      <w:marTop w:val="0"/>
      <w:marBottom w:val="0"/>
      <w:divBdr>
        <w:top w:val="none" w:sz="0" w:space="0" w:color="auto"/>
        <w:left w:val="none" w:sz="0" w:space="0" w:color="auto"/>
        <w:bottom w:val="none" w:sz="0" w:space="0" w:color="auto"/>
        <w:right w:val="none" w:sz="0" w:space="0" w:color="auto"/>
      </w:divBdr>
    </w:div>
    <w:div w:id="1520193053">
      <w:bodyDiv w:val="1"/>
      <w:marLeft w:val="0"/>
      <w:marRight w:val="0"/>
      <w:marTop w:val="0"/>
      <w:marBottom w:val="0"/>
      <w:divBdr>
        <w:top w:val="none" w:sz="0" w:space="0" w:color="auto"/>
        <w:left w:val="none" w:sz="0" w:space="0" w:color="auto"/>
        <w:bottom w:val="none" w:sz="0" w:space="0" w:color="auto"/>
        <w:right w:val="none" w:sz="0" w:space="0" w:color="auto"/>
      </w:divBdr>
    </w:div>
    <w:div w:id="1532111483">
      <w:bodyDiv w:val="1"/>
      <w:marLeft w:val="0"/>
      <w:marRight w:val="0"/>
      <w:marTop w:val="0"/>
      <w:marBottom w:val="0"/>
      <w:divBdr>
        <w:top w:val="none" w:sz="0" w:space="0" w:color="auto"/>
        <w:left w:val="none" w:sz="0" w:space="0" w:color="auto"/>
        <w:bottom w:val="none" w:sz="0" w:space="0" w:color="auto"/>
        <w:right w:val="none" w:sz="0" w:space="0" w:color="auto"/>
      </w:divBdr>
    </w:div>
    <w:div w:id="1544558754">
      <w:bodyDiv w:val="1"/>
      <w:marLeft w:val="0"/>
      <w:marRight w:val="0"/>
      <w:marTop w:val="0"/>
      <w:marBottom w:val="0"/>
      <w:divBdr>
        <w:top w:val="none" w:sz="0" w:space="0" w:color="auto"/>
        <w:left w:val="none" w:sz="0" w:space="0" w:color="auto"/>
        <w:bottom w:val="none" w:sz="0" w:space="0" w:color="auto"/>
        <w:right w:val="none" w:sz="0" w:space="0" w:color="auto"/>
      </w:divBdr>
    </w:div>
    <w:div w:id="1635057733">
      <w:bodyDiv w:val="1"/>
      <w:marLeft w:val="0"/>
      <w:marRight w:val="0"/>
      <w:marTop w:val="0"/>
      <w:marBottom w:val="0"/>
      <w:divBdr>
        <w:top w:val="none" w:sz="0" w:space="0" w:color="auto"/>
        <w:left w:val="none" w:sz="0" w:space="0" w:color="auto"/>
        <w:bottom w:val="none" w:sz="0" w:space="0" w:color="auto"/>
        <w:right w:val="none" w:sz="0" w:space="0" w:color="auto"/>
      </w:divBdr>
    </w:div>
    <w:div w:id="1767964769">
      <w:bodyDiv w:val="1"/>
      <w:marLeft w:val="0"/>
      <w:marRight w:val="0"/>
      <w:marTop w:val="0"/>
      <w:marBottom w:val="0"/>
      <w:divBdr>
        <w:top w:val="none" w:sz="0" w:space="0" w:color="auto"/>
        <w:left w:val="none" w:sz="0" w:space="0" w:color="auto"/>
        <w:bottom w:val="none" w:sz="0" w:space="0" w:color="auto"/>
        <w:right w:val="none" w:sz="0" w:space="0" w:color="auto"/>
      </w:divBdr>
    </w:div>
    <w:div w:id="196673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21D9B3437B4D43AA4DE076CE5E3415" ma:contentTypeVersion="4" ma:contentTypeDescription="Create a new document." ma:contentTypeScope="" ma:versionID="3692672e5fb670c92f0d16f1f2a94678">
  <xsd:schema xmlns:xsd="http://www.w3.org/2001/XMLSchema" xmlns:xs="http://www.w3.org/2001/XMLSchema" xmlns:p="http://schemas.microsoft.com/office/2006/metadata/properties" xmlns:ns2="f2ee9359-c25c-4d06-89c3-5a6f75e7a02b" targetNamespace="http://schemas.microsoft.com/office/2006/metadata/properties" ma:root="true" ma:fieldsID="979a58978374604f0b998a4dc22f03bb" ns2:_="">
    <xsd:import namespace="f2ee9359-c25c-4d06-89c3-5a6f75e7a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e9359-c25c-4d06-89c3-5a6f75e7a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73EFA-6A80-4C15-9816-F0371A75D8D3}">
  <ds:schemaRefs>
    <ds:schemaRef ds:uri="http://schemas.microsoft.com/office/2006/documentManagement/types"/>
    <ds:schemaRef ds:uri="http://schemas.microsoft.com/office/2006/metadata/properties"/>
    <ds:schemaRef ds:uri="f2ee9359-c25c-4d06-89c3-5a6f75e7a02b"/>
    <ds:schemaRef ds:uri="http://purl.org/dc/term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E71AEBD-D98C-4483-A5C3-72A4C2BBD821}">
  <ds:schemaRefs>
    <ds:schemaRef ds:uri="http://schemas.openxmlformats.org/officeDocument/2006/bibliography"/>
  </ds:schemaRefs>
</ds:datastoreItem>
</file>

<file path=customXml/itemProps3.xml><?xml version="1.0" encoding="utf-8"?>
<ds:datastoreItem xmlns:ds="http://schemas.openxmlformats.org/officeDocument/2006/customXml" ds:itemID="{0EF92AD8-2CB5-4A97-A24E-30CE4C74A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e9359-c25c-4d06-89c3-5a6f75e7a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4B91F5-6BD2-4AD7-A523-7D84E90FB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Gomes</dc:creator>
  <cp:lastModifiedBy>Amanda Toussaint</cp:lastModifiedBy>
  <cp:revision>4</cp:revision>
  <dcterms:created xsi:type="dcterms:W3CDTF">2024-12-20T10:34:00Z</dcterms:created>
  <dcterms:modified xsi:type="dcterms:W3CDTF">2024-12-20T10:36:00Z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0x0101000F21D9B3437B4D43AA4DE076CE5E3415</vt:lpwstr>
  </property>
</Properties>
</file>